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178A7" w14:textId="77777777" w:rsidR="001D4CAB" w:rsidRPr="00F0155A" w:rsidRDefault="001D4CAB" w:rsidP="001D4CAB">
      <w:pPr>
        <w:jc w:val="left"/>
        <w:rPr>
          <w:rFonts w:ascii="Times New Roman" w:hAnsi="Times New Roman" w:cs="Times New Roman"/>
          <w:b/>
          <w:bCs/>
          <w:sz w:val="24"/>
          <w:szCs w:val="24"/>
        </w:rPr>
      </w:pPr>
      <w:r w:rsidRPr="00F0155A">
        <w:rPr>
          <w:rFonts w:ascii="Times New Roman" w:hAnsi="Times New Roman" w:cs="Times New Roman"/>
          <w:b/>
          <w:bCs/>
          <w:sz w:val="24"/>
          <w:szCs w:val="24"/>
        </w:rPr>
        <w:t>The Impact of Entrepreneurial Orientation on Competitive Advantage Moderated by Financing Support in SMEs</w:t>
      </w:r>
    </w:p>
    <w:p w14:paraId="3C9E7A61" w14:textId="77777777" w:rsidR="001D4CAB" w:rsidRPr="00F0155A" w:rsidRDefault="001D4CAB" w:rsidP="001D4CAB">
      <w:pPr>
        <w:autoSpaceDE w:val="0"/>
        <w:autoSpaceDN w:val="0"/>
        <w:adjustRightInd w:val="0"/>
        <w:spacing w:after="0" w:line="240" w:lineRule="auto"/>
        <w:jc w:val="center"/>
        <w:rPr>
          <w:rFonts w:ascii="Times New Roman" w:hAnsi="Times New Roman" w:cs="Times New Roman"/>
          <w:color w:val="000000"/>
        </w:rPr>
      </w:pPr>
    </w:p>
    <w:p w14:paraId="26C9C1AB" w14:textId="77777777" w:rsidR="001D4CAB" w:rsidRPr="00F0155A" w:rsidRDefault="001D4CAB" w:rsidP="001D4CAB">
      <w:pPr>
        <w:autoSpaceDE w:val="0"/>
        <w:autoSpaceDN w:val="0"/>
        <w:adjustRightInd w:val="0"/>
        <w:spacing w:after="0" w:line="240" w:lineRule="auto"/>
        <w:jc w:val="left"/>
        <w:rPr>
          <w:rFonts w:ascii="Times New Roman" w:hAnsi="Times New Roman" w:cs="Times New Roman"/>
          <w:color w:val="000000"/>
        </w:rPr>
      </w:pPr>
      <w:r w:rsidRPr="00F0155A">
        <w:rPr>
          <w:rFonts w:ascii="Times New Roman" w:hAnsi="Times New Roman" w:cs="Times New Roman"/>
          <w:b/>
          <w:bCs/>
          <w:color w:val="000000"/>
        </w:rPr>
        <w:t>Mohammed R</w:t>
      </w:r>
      <w:r>
        <w:rPr>
          <w:rFonts w:ascii="Times New Roman" w:hAnsi="Times New Roman" w:cs="Times New Roman"/>
          <w:b/>
          <w:bCs/>
          <w:color w:val="000000"/>
        </w:rPr>
        <w:t>.</w:t>
      </w:r>
      <w:r w:rsidRPr="00F0155A">
        <w:rPr>
          <w:rFonts w:ascii="Times New Roman" w:hAnsi="Times New Roman" w:cs="Times New Roman"/>
          <w:b/>
          <w:bCs/>
          <w:color w:val="000000"/>
        </w:rPr>
        <w:t xml:space="preserve"> Yaseen </w:t>
      </w:r>
      <w:proofErr w:type="spellStart"/>
      <w:r w:rsidRPr="00F0155A">
        <w:rPr>
          <w:rFonts w:ascii="Times New Roman" w:hAnsi="Times New Roman" w:cs="Times New Roman"/>
          <w:b/>
          <w:bCs/>
          <w:color w:val="000000"/>
        </w:rPr>
        <w:t>Zeebaree</w:t>
      </w:r>
      <w:proofErr w:type="spellEnd"/>
    </w:p>
    <w:p w14:paraId="25177C36" w14:textId="77777777" w:rsidR="001D4CAB" w:rsidRPr="00F0155A" w:rsidRDefault="001D4CAB" w:rsidP="001D4CAB">
      <w:pPr>
        <w:autoSpaceDE w:val="0"/>
        <w:autoSpaceDN w:val="0"/>
        <w:adjustRightInd w:val="0"/>
        <w:spacing w:after="0" w:line="240" w:lineRule="auto"/>
        <w:jc w:val="left"/>
        <w:rPr>
          <w:rFonts w:ascii="Times New Roman" w:hAnsi="Times New Roman" w:cs="Times New Roman"/>
          <w:color w:val="000000"/>
        </w:rPr>
      </w:pPr>
      <w:r w:rsidRPr="00F0155A">
        <w:rPr>
          <w:rFonts w:ascii="Times New Roman" w:hAnsi="Times New Roman" w:cs="Times New Roman"/>
          <w:color w:val="000000"/>
        </w:rPr>
        <w:t xml:space="preserve">Graduate Business School, </w:t>
      </w:r>
      <w:proofErr w:type="spellStart"/>
      <w:r w:rsidRPr="00F0155A">
        <w:rPr>
          <w:rFonts w:ascii="Times New Roman" w:hAnsi="Times New Roman" w:cs="Times New Roman"/>
          <w:color w:val="000000"/>
        </w:rPr>
        <w:t>Universiti</w:t>
      </w:r>
      <w:proofErr w:type="spellEnd"/>
      <w:r w:rsidRPr="00F0155A">
        <w:rPr>
          <w:rFonts w:ascii="Times New Roman" w:hAnsi="Times New Roman" w:cs="Times New Roman"/>
          <w:color w:val="000000"/>
        </w:rPr>
        <w:t xml:space="preserve"> </w:t>
      </w:r>
      <w:proofErr w:type="spellStart"/>
      <w:r w:rsidRPr="00F0155A">
        <w:rPr>
          <w:rFonts w:ascii="Times New Roman" w:hAnsi="Times New Roman" w:cs="Times New Roman"/>
          <w:color w:val="000000"/>
        </w:rPr>
        <w:t>Tenaga</w:t>
      </w:r>
      <w:proofErr w:type="spellEnd"/>
      <w:r w:rsidRPr="00F0155A">
        <w:rPr>
          <w:rFonts w:ascii="Times New Roman" w:hAnsi="Times New Roman" w:cs="Times New Roman"/>
          <w:color w:val="000000"/>
        </w:rPr>
        <w:t xml:space="preserve"> </w:t>
      </w:r>
      <w:proofErr w:type="spellStart"/>
      <w:r w:rsidRPr="00F0155A">
        <w:rPr>
          <w:rFonts w:ascii="Times New Roman" w:hAnsi="Times New Roman" w:cs="Times New Roman"/>
          <w:color w:val="000000"/>
        </w:rPr>
        <w:t>Nasional</w:t>
      </w:r>
      <w:proofErr w:type="spellEnd"/>
      <w:r w:rsidRPr="00F0155A">
        <w:rPr>
          <w:rFonts w:ascii="Times New Roman" w:hAnsi="Times New Roman" w:cs="Times New Roman"/>
          <w:color w:val="000000"/>
        </w:rPr>
        <w:t xml:space="preserve"> (UNITEN),</w:t>
      </w:r>
      <w:r>
        <w:rPr>
          <w:rFonts w:ascii="Times New Roman" w:hAnsi="Times New Roman" w:cs="Times New Roman"/>
          <w:color w:val="000000"/>
        </w:rPr>
        <w:t xml:space="preserve"> </w:t>
      </w:r>
      <w:proofErr w:type="spellStart"/>
      <w:r w:rsidRPr="00F0155A">
        <w:rPr>
          <w:rFonts w:ascii="Times New Roman" w:hAnsi="Times New Roman" w:cs="Times New Roman"/>
          <w:color w:val="000000"/>
        </w:rPr>
        <w:t>Jalan</w:t>
      </w:r>
      <w:proofErr w:type="spellEnd"/>
      <w:r w:rsidRPr="00F0155A">
        <w:rPr>
          <w:rFonts w:ascii="Times New Roman" w:hAnsi="Times New Roman" w:cs="Times New Roman"/>
          <w:color w:val="000000"/>
        </w:rPr>
        <w:t xml:space="preserve"> IKRAM-UNITEN 43000 </w:t>
      </w:r>
      <w:proofErr w:type="spellStart"/>
      <w:r w:rsidRPr="00F0155A">
        <w:rPr>
          <w:rFonts w:ascii="Times New Roman" w:hAnsi="Times New Roman" w:cs="Times New Roman"/>
          <w:color w:val="000000"/>
        </w:rPr>
        <w:t>Kajang</w:t>
      </w:r>
      <w:proofErr w:type="spellEnd"/>
      <w:r w:rsidRPr="00F0155A">
        <w:rPr>
          <w:rFonts w:ascii="Times New Roman" w:hAnsi="Times New Roman" w:cs="Times New Roman"/>
          <w:color w:val="000000"/>
        </w:rPr>
        <w:t>, Selangor, Malaysia</w:t>
      </w:r>
      <w:r>
        <w:rPr>
          <w:rFonts w:ascii="Times New Roman" w:hAnsi="Times New Roman" w:cs="Times New Roman"/>
          <w:color w:val="000000"/>
        </w:rPr>
        <w:t xml:space="preserve"> </w:t>
      </w:r>
      <w:r w:rsidRPr="00F0155A">
        <w:rPr>
          <w:rFonts w:ascii="Times New Roman" w:hAnsi="Times New Roman" w:cs="Times New Roman"/>
          <w:color w:val="000000"/>
        </w:rPr>
        <w:t xml:space="preserve">Email: </w:t>
      </w:r>
      <w:hyperlink r:id="rId8" w:history="1">
        <w:r w:rsidRPr="00155515">
          <w:rPr>
            <w:rStyle w:val="Hyperlink"/>
            <w:rFonts w:ascii="Times New Roman" w:hAnsi="Times New Roman" w:cs="Times New Roman"/>
          </w:rPr>
          <w:t>Mohamed_zeebare@yahoo.com</w:t>
        </w:r>
      </w:hyperlink>
      <w:r>
        <w:rPr>
          <w:rFonts w:ascii="Times New Roman" w:hAnsi="Times New Roman" w:cs="Times New Roman"/>
          <w:color w:val="000000"/>
        </w:rPr>
        <w:t xml:space="preserve">. </w:t>
      </w:r>
      <w:r w:rsidRPr="00F0155A">
        <w:rPr>
          <w:rFonts w:ascii="Times New Roman" w:hAnsi="Times New Roman" w:cs="Times New Roman"/>
          <w:color w:val="000000"/>
        </w:rPr>
        <w:t>Tel: +601128962087</w:t>
      </w:r>
    </w:p>
    <w:p w14:paraId="1104FB36" w14:textId="77777777" w:rsidR="001D4CAB" w:rsidRPr="00F0155A" w:rsidRDefault="001D4CAB" w:rsidP="001D4CAB">
      <w:pPr>
        <w:autoSpaceDE w:val="0"/>
        <w:autoSpaceDN w:val="0"/>
        <w:adjustRightInd w:val="0"/>
        <w:spacing w:after="0" w:line="240" w:lineRule="auto"/>
        <w:jc w:val="left"/>
        <w:rPr>
          <w:rFonts w:ascii="Times New Roman" w:hAnsi="Times New Roman" w:cs="Times New Roman"/>
          <w:b/>
          <w:bCs/>
          <w:color w:val="000000"/>
        </w:rPr>
      </w:pPr>
      <w:proofErr w:type="spellStart"/>
      <w:r w:rsidRPr="00F0155A">
        <w:rPr>
          <w:rFonts w:ascii="Times New Roman" w:hAnsi="Times New Roman" w:cs="Times New Roman"/>
          <w:b/>
          <w:bCs/>
          <w:color w:val="000000"/>
        </w:rPr>
        <w:t>Rusinah</w:t>
      </w:r>
      <w:proofErr w:type="spellEnd"/>
      <w:r w:rsidRPr="00F0155A">
        <w:rPr>
          <w:rFonts w:ascii="Times New Roman" w:hAnsi="Times New Roman" w:cs="Times New Roman"/>
          <w:b/>
          <w:bCs/>
          <w:color w:val="000000"/>
        </w:rPr>
        <w:t xml:space="preserve"> </w:t>
      </w:r>
      <w:proofErr w:type="spellStart"/>
      <w:proofErr w:type="gramStart"/>
      <w:r w:rsidRPr="00F0155A">
        <w:rPr>
          <w:rFonts w:ascii="Times New Roman" w:hAnsi="Times New Roman" w:cs="Times New Roman"/>
          <w:b/>
          <w:bCs/>
          <w:color w:val="000000"/>
        </w:rPr>
        <w:t>Bt</w:t>
      </w:r>
      <w:proofErr w:type="spellEnd"/>
      <w:proofErr w:type="gramEnd"/>
      <w:r w:rsidRPr="00F0155A">
        <w:rPr>
          <w:rFonts w:ascii="Times New Roman" w:hAnsi="Times New Roman" w:cs="Times New Roman"/>
          <w:b/>
          <w:bCs/>
          <w:color w:val="000000"/>
        </w:rPr>
        <w:t xml:space="preserve"> </w:t>
      </w:r>
      <w:proofErr w:type="spellStart"/>
      <w:r w:rsidRPr="00F0155A">
        <w:rPr>
          <w:rFonts w:ascii="Times New Roman" w:hAnsi="Times New Roman" w:cs="Times New Roman"/>
          <w:b/>
          <w:bCs/>
          <w:color w:val="000000"/>
        </w:rPr>
        <w:t>Siron</w:t>
      </w:r>
      <w:proofErr w:type="spellEnd"/>
    </w:p>
    <w:p w14:paraId="0726070F" w14:textId="77777777" w:rsidR="001D4CAB" w:rsidRDefault="001D4CAB" w:rsidP="001D4CAB">
      <w:pPr>
        <w:autoSpaceDE w:val="0"/>
        <w:autoSpaceDN w:val="0"/>
        <w:adjustRightInd w:val="0"/>
        <w:spacing w:after="0" w:line="240" w:lineRule="auto"/>
        <w:jc w:val="left"/>
        <w:rPr>
          <w:rFonts w:ascii="Times New Roman" w:hAnsi="Times New Roman" w:cs="Times New Roman"/>
          <w:color w:val="000000"/>
        </w:rPr>
      </w:pPr>
      <w:r w:rsidRPr="00F0155A">
        <w:rPr>
          <w:rFonts w:ascii="Times New Roman" w:hAnsi="Times New Roman" w:cs="Times New Roman"/>
          <w:color w:val="000000"/>
        </w:rPr>
        <w:t xml:space="preserve">Graduate Business School, </w:t>
      </w:r>
      <w:proofErr w:type="spellStart"/>
      <w:r w:rsidRPr="00F0155A">
        <w:rPr>
          <w:rFonts w:ascii="Times New Roman" w:hAnsi="Times New Roman" w:cs="Times New Roman"/>
          <w:color w:val="000000"/>
        </w:rPr>
        <w:t>Universiti</w:t>
      </w:r>
      <w:proofErr w:type="spellEnd"/>
      <w:r w:rsidRPr="00F0155A">
        <w:rPr>
          <w:rFonts w:ascii="Times New Roman" w:hAnsi="Times New Roman" w:cs="Times New Roman"/>
          <w:color w:val="000000"/>
        </w:rPr>
        <w:t xml:space="preserve"> </w:t>
      </w:r>
      <w:proofErr w:type="spellStart"/>
      <w:r w:rsidRPr="00F0155A">
        <w:rPr>
          <w:rFonts w:ascii="Times New Roman" w:hAnsi="Times New Roman" w:cs="Times New Roman"/>
          <w:color w:val="000000"/>
        </w:rPr>
        <w:t>Tenaga</w:t>
      </w:r>
      <w:proofErr w:type="spellEnd"/>
      <w:r w:rsidRPr="00F0155A">
        <w:rPr>
          <w:rFonts w:ascii="Times New Roman" w:hAnsi="Times New Roman" w:cs="Times New Roman"/>
          <w:color w:val="000000"/>
        </w:rPr>
        <w:t xml:space="preserve"> </w:t>
      </w:r>
      <w:proofErr w:type="spellStart"/>
      <w:r w:rsidRPr="00F0155A">
        <w:rPr>
          <w:rFonts w:ascii="Times New Roman" w:hAnsi="Times New Roman" w:cs="Times New Roman"/>
          <w:color w:val="000000"/>
        </w:rPr>
        <w:t>Nasional</w:t>
      </w:r>
      <w:proofErr w:type="spellEnd"/>
      <w:r w:rsidRPr="00F0155A">
        <w:rPr>
          <w:rFonts w:ascii="Times New Roman" w:hAnsi="Times New Roman" w:cs="Times New Roman"/>
          <w:color w:val="000000"/>
        </w:rPr>
        <w:t xml:space="preserve"> (UNITEN),</w:t>
      </w:r>
      <w:r>
        <w:rPr>
          <w:rFonts w:ascii="Times New Roman" w:hAnsi="Times New Roman" w:cs="Times New Roman"/>
          <w:color w:val="000000"/>
        </w:rPr>
        <w:t xml:space="preserve"> </w:t>
      </w:r>
      <w:proofErr w:type="spellStart"/>
      <w:r w:rsidRPr="00F0155A">
        <w:rPr>
          <w:rFonts w:ascii="Times New Roman" w:hAnsi="Times New Roman" w:cs="Times New Roman"/>
          <w:color w:val="000000"/>
        </w:rPr>
        <w:t>Jalan</w:t>
      </w:r>
      <w:proofErr w:type="spellEnd"/>
      <w:r w:rsidRPr="00F0155A">
        <w:rPr>
          <w:rFonts w:ascii="Times New Roman" w:hAnsi="Times New Roman" w:cs="Times New Roman"/>
          <w:color w:val="000000"/>
        </w:rPr>
        <w:t xml:space="preserve"> IKRAM-UNITEN 43000 </w:t>
      </w:r>
      <w:proofErr w:type="spellStart"/>
      <w:r w:rsidRPr="00F0155A">
        <w:rPr>
          <w:rFonts w:ascii="Times New Roman" w:hAnsi="Times New Roman" w:cs="Times New Roman"/>
          <w:color w:val="000000"/>
        </w:rPr>
        <w:t>Kajang</w:t>
      </w:r>
      <w:proofErr w:type="spellEnd"/>
      <w:r w:rsidRPr="00F0155A">
        <w:rPr>
          <w:rFonts w:ascii="Times New Roman" w:hAnsi="Times New Roman" w:cs="Times New Roman"/>
          <w:color w:val="000000"/>
        </w:rPr>
        <w:t>, Selangor, Malaysia</w:t>
      </w:r>
      <w:r>
        <w:rPr>
          <w:rFonts w:ascii="Times New Roman" w:hAnsi="Times New Roman" w:cs="Times New Roman"/>
          <w:color w:val="000000"/>
        </w:rPr>
        <w:t xml:space="preserve">, Email: </w:t>
      </w:r>
      <w:hyperlink r:id="rId9" w:history="1">
        <w:r w:rsidRPr="00155515">
          <w:rPr>
            <w:rStyle w:val="Hyperlink"/>
            <w:rFonts w:ascii="Times New Roman" w:hAnsi="Times New Roman" w:cs="Times New Roman"/>
          </w:rPr>
          <w:t>Rusinah@uniten.edu.my</w:t>
        </w:r>
      </w:hyperlink>
      <w:r>
        <w:rPr>
          <w:rFonts w:ascii="Times New Roman" w:hAnsi="Times New Roman" w:cs="Times New Roman"/>
          <w:color w:val="000000"/>
        </w:rPr>
        <w:t xml:space="preserve">. </w:t>
      </w:r>
      <w:hyperlink r:id="rId10" w:history="1">
        <w:r w:rsidRPr="00155515">
          <w:rPr>
            <w:rStyle w:val="Hyperlink"/>
            <w:rFonts w:ascii="Times New Roman" w:hAnsi="Times New Roman" w:cs="Times New Roman"/>
          </w:rPr>
          <w:t>Tel:+60139316438</w:t>
        </w:r>
      </w:hyperlink>
      <w:r w:rsidRPr="00F0155A">
        <w:rPr>
          <w:rFonts w:ascii="Times New Roman" w:hAnsi="Times New Roman" w:cs="Times New Roman"/>
          <w:color w:val="000000"/>
        </w:rPr>
        <w:t xml:space="preserve"> </w:t>
      </w:r>
    </w:p>
    <w:p w14:paraId="58E98604" w14:textId="77777777" w:rsidR="001D4CAB" w:rsidRDefault="001D4CAB" w:rsidP="001D4CAB">
      <w:pPr>
        <w:autoSpaceDE w:val="0"/>
        <w:autoSpaceDN w:val="0"/>
        <w:adjustRightInd w:val="0"/>
        <w:spacing w:after="0" w:line="240" w:lineRule="auto"/>
        <w:jc w:val="left"/>
        <w:rPr>
          <w:rFonts w:ascii="Times New Roman" w:hAnsi="Times New Roman" w:cs="Times New Roman"/>
          <w:color w:val="000000"/>
        </w:rPr>
      </w:pPr>
    </w:p>
    <w:p w14:paraId="11C730CE" w14:textId="77777777" w:rsidR="001D4CAB" w:rsidRPr="00F0155A" w:rsidRDefault="001D4CAB" w:rsidP="001D4CAB">
      <w:pPr>
        <w:autoSpaceDE w:val="0"/>
        <w:autoSpaceDN w:val="0"/>
        <w:adjustRightInd w:val="0"/>
        <w:spacing w:after="0" w:line="240" w:lineRule="auto"/>
        <w:jc w:val="left"/>
        <w:rPr>
          <w:rFonts w:ascii="Times New Roman" w:hAnsi="Times New Roman" w:cs="Times New Roman"/>
          <w:color w:val="000000"/>
        </w:rPr>
      </w:pPr>
    </w:p>
    <w:p w14:paraId="21A81126" w14:textId="77777777" w:rsidR="001D4CAB" w:rsidRPr="005C7FE5" w:rsidRDefault="001D4CAB" w:rsidP="001D4CAB">
      <w:pPr>
        <w:spacing w:line="276" w:lineRule="auto"/>
        <w:rPr>
          <w:rFonts w:ascii="Times New Roman" w:hAnsi="Times New Roman" w:cs="Times New Roman"/>
          <w:b/>
          <w:bCs/>
        </w:rPr>
      </w:pPr>
      <w:r w:rsidRPr="005C7FE5">
        <w:rPr>
          <w:rFonts w:ascii="Times New Roman" w:hAnsi="Times New Roman" w:cs="Times New Roman"/>
          <w:b/>
          <w:bCs/>
        </w:rPr>
        <w:t>ABSTRACT</w:t>
      </w:r>
    </w:p>
    <w:p w14:paraId="47A6AF21" w14:textId="77777777" w:rsidR="001D4CAB" w:rsidRPr="005C7FE5" w:rsidRDefault="001D4CAB" w:rsidP="001D4CAB">
      <w:pPr>
        <w:spacing w:after="0" w:line="240" w:lineRule="auto"/>
        <w:rPr>
          <w:rFonts w:ascii="Times New Roman" w:hAnsi="Times New Roman" w:cs="Times New Roman"/>
          <w:sz w:val="20"/>
          <w:szCs w:val="20"/>
        </w:rPr>
      </w:pPr>
      <w:r w:rsidRPr="005C7FE5">
        <w:rPr>
          <w:rFonts w:ascii="Times New Roman" w:hAnsi="Times New Roman" w:cs="Times New Roman"/>
          <w:sz w:val="20"/>
          <w:szCs w:val="20"/>
        </w:rPr>
        <w:t>The purpose of this study is to examine the relationship between entrepreneurial orientation and competitive advantage and to investigate the moderated role of financial support between the influences of entrepreneurial orientations on competitive advantage. This study adopted a quantitative approach using survey instruments. The targeted sample size was 680 from a total manager population in 3526 SMEs working in Kurdistan Region Government (KRG) in Iraq. The total number of usable questionnaires was 580. Structural Equation Modeling (SEM) was employed to examine the relationship among the variables. The statistical result showed that entrepreneurial orientations significantly influenced on competitive advantage. The results also highlight that financial support had a moderated role in relationship between entrepreneurial orientation and competitive advantage in SMEs in Iraqi Kurdistan Region Government.</w:t>
      </w:r>
    </w:p>
    <w:p w14:paraId="60995409" w14:textId="77777777" w:rsidR="001D4CAB" w:rsidRPr="005C7FE5" w:rsidRDefault="001D4CAB" w:rsidP="001D4CAB">
      <w:pPr>
        <w:spacing w:after="0" w:line="240" w:lineRule="auto"/>
        <w:rPr>
          <w:rFonts w:ascii="Times New Roman" w:hAnsi="Times New Roman" w:cs="Times New Roman"/>
          <w:sz w:val="20"/>
          <w:szCs w:val="20"/>
        </w:rPr>
      </w:pPr>
    </w:p>
    <w:p w14:paraId="45D2F512" w14:textId="25F3FB36" w:rsidR="001D4CAB" w:rsidRPr="005C7FE5" w:rsidRDefault="001D4CAB" w:rsidP="00362AFA">
      <w:pPr>
        <w:spacing w:after="0" w:line="240" w:lineRule="auto"/>
        <w:ind w:left="426" w:hanging="426"/>
        <w:rPr>
          <w:rFonts w:ascii="Times New Roman" w:hAnsi="Times New Roman" w:cs="Times New Roman"/>
          <w:b/>
          <w:bCs/>
        </w:rPr>
      </w:pPr>
      <w:r w:rsidRPr="005C7FE5">
        <w:rPr>
          <w:rFonts w:ascii="Times New Roman" w:hAnsi="Times New Roman" w:cs="Times New Roman"/>
          <w:b/>
          <w:bCs/>
          <w:i/>
          <w:iCs/>
        </w:rPr>
        <w:t>Key Words</w:t>
      </w:r>
      <w:r w:rsidRPr="005C7FE5">
        <w:rPr>
          <w:rFonts w:ascii="Times New Roman" w:hAnsi="Times New Roman" w:cs="Times New Roman"/>
          <w:b/>
          <w:bCs/>
        </w:rPr>
        <w:t xml:space="preserve">: Small and Medium -Sized Enterprises, Entrepreneurial Orientation, Financial Support, and Competitive Advantage.       </w:t>
      </w:r>
    </w:p>
    <w:p w14:paraId="4910989E" w14:textId="77777777" w:rsidR="001D4CAB" w:rsidRPr="005C7FE5" w:rsidRDefault="001D4CAB" w:rsidP="001D4CAB">
      <w:pPr>
        <w:pStyle w:val="Heading1"/>
        <w:rPr>
          <w:color w:val="auto"/>
        </w:rPr>
      </w:pPr>
      <w:r w:rsidRPr="005C7FE5">
        <w:rPr>
          <w:color w:val="auto"/>
        </w:rPr>
        <w:t xml:space="preserve"> Introduction</w:t>
      </w:r>
    </w:p>
    <w:p w14:paraId="1CBBC084"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Small businesses play a key role in creating jobs, contributing to tax, export and import revenues, facilitating the distribution of goods, as well as contributing to human resource development. SMEs are the cradle of innovations and entrepreneurship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"Agyapong", "given" : "D.", "non-dropping-particle" : "", "parse-names" : false, "suffix" : "" } ], "container-title" : "International Journal of business and management", "id" : "ITEM-1", "issue" : "12", "issued" : { "date-parts" : [ [ "2010" ] ] }, "page" : "196-205", "title" : "Micro , small and medium enterprises \u2019 activities , income level and poverty reduction in Ghana \u2013a synthesis of related literature", "type" : "article-journal", "volume" : "5" }, "uris" : [ "http://www.mendeley.com/documents/?uuid=45d82b68-09c1-4ce8-b75d-49df4060c6e0" ] }, { "id" : "ITEM-2", "itemData" : { "author" : [ { "dropping-particle" : "", "family" : "Schl\u00f6gl", "given" : "Herwig", "non-dropping-particle" : "", "parse-names" : false, "suffix" : "" } ], "container-title" : "Organizational for Economic Cooperation and Development", "id" : "ITEM-2", "issue" : "May", "issued" : { "date-parts" : [ [ "2004" ] ] }, "page" : "46-48", "title" : "Small and medium enterprises: Seizing the potential", "type" : "article-journal", "volume" : "243" }, "uris" : [ "http://www.mendeley.com/documents/?uuid=945a342a-9bcd-490b-a0f7-b1a05970375b" ] } ], "mendeley" : { "formattedCitation" : "(Agyapong, 2010; Schl\u00f6gl, 2004)", "manualFormatting" : "(Agyapong, 2010; Schl\u00f6gl, 2004 )", "plainTextFormattedCitation" : "(Agyapong, 2010; Schl\u00f6gl, 2004)", "previouslyFormattedCitation" : "(Agyapong, 2010; Schl\u00f6gl, 2004)"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(Agyapong, 2010; Schlögl, 2004 )</w:t>
      </w:r>
      <w:r w:rsidRPr="005C7FE5">
        <w:rPr>
          <w:rFonts w:ascii="Times New Roman" w:hAnsi="Times New Roman" w:cs="Times New Roman"/>
        </w:rPr>
        <w:fldChar w:fldCharType="end"/>
      </w:r>
      <w:r w:rsidRPr="005C7FE5">
        <w:rPr>
          <w:rFonts w:ascii="Times New Roman" w:hAnsi="Times New Roman" w:cs="Times New Roman"/>
        </w:rPr>
        <w:t xml:space="preserve">. In addition, SMEs are very important in the fight against poverty. They also employ poor and low income workers and are sometimes the only source of employment in the rural area; their contribution cannot be overlooked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"Ackah", "given" : "A. J.", "non-dropping-particle" : "", "parse-names" : false, "suffix" : "" } ], "id" : "ITEM-1", "issued" : { "date-parts" : [ [ "2011" ] ] }, "publisher" : "Blekinge Tekniska Hogskola", "title" : "The challenges faced by small &amp; medium enterprises ( SMEs ) in obtaining credit in Ghana .", "type" : "thesis" }, "uris" : [ "http://www.mendeley.com/documents/?uuid=1f9639c5-d795-448d-b86a-31de5fc0a7d3" ] } ], "mendeley" : { "formattedCitation" : "(Ackah, 2011)", "plainTextFormattedCitation" : "(Ackah, 2011)", "previouslyFormattedCitation" : "(Ackah, 2011)"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(Ackah, 2011)</w:t>
      </w:r>
      <w:r w:rsidRPr="005C7FE5">
        <w:rPr>
          <w:rFonts w:ascii="Times New Roman" w:hAnsi="Times New Roman" w:cs="Times New Roman"/>
        </w:rPr>
        <w:fldChar w:fldCharType="end"/>
      </w:r>
      <w:r w:rsidRPr="005C7FE5">
        <w:rPr>
          <w:rFonts w:ascii="Times New Roman" w:hAnsi="Times New Roman" w:cs="Times New Roman"/>
        </w:rPr>
        <w:t>.</w:t>
      </w:r>
    </w:p>
    <w:p w14:paraId="69D536A2"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In South East Asian countries, about 90% of industrial establishments are under SME. In countries like Singapore, Malaysia, Taiwan, Thailand and South Korea, contributions of SMEs to employment ranges from 35 to 61% and contribution of value added products ranges from 22 to 40%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"Meng", "given" : "M. Shahidul Islam BSc", "non-dropping-particle" : "", "parse-names" : false, "suffix" : "" } ], "id" : "ITEM-1", "issued" : { "date-parts" : [ [ "2005" ] ] }, "publisher" : "Dublin City University, Ireland", "title" : "A critical study on the strategy for capital machinery manufacturing SMEs in Bangladesh", "type" : "thesis" }, "uris" : [ "http://www.mendeley.com/documents/?uuid=e60e4262-224e-4dfc-b239-b87b215cf590" ] } ], "mendeley" : { "formattedCitation" : "(Meng, 2005)", "plainTextFormattedCitation" : "(Meng, 2005)", "previouslyFormattedCitation" : "(Meng, 2005)"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(Meng, 2005)</w:t>
      </w:r>
      <w:r w:rsidRPr="005C7FE5">
        <w:rPr>
          <w:rFonts w:ascii="Times New Roman" w:hAnsi="Times New Roman" w:cs="Times New Roman"/>
        </w:rPr>
        <w:fldChar w:fldCharType="end"/>
      </w:r>
      <w:r w:rsidRPr="005C7FE5">
        <w:rPr>
          <w:rFonts w:ascii="Times New Roman" w:hAnsi="Times New Roman" w:cs="Times New Roman"/>
        </w:rPr>
        <w:t xml:space="preserve">. </w:t>
      </w:r>
    </w:p>
    <w:p w14:paraId="339DC4E9" w14:textId="77777777" w:rsidR="001D4CAB" w:rsidRPr="005C7FE5" w:rsidRDefault="001D4CAB" w:rsidP="001D4CAB">
      <w:pPr>
        <w:spacing w:after="0" w:line="240" w:lineRule="auto"/>
        <w:rPr>
          <w:rFonts w:ascii="Times New Roman" w:hAnsi="Times New Roman" w:cs="Times New Roman"/>
        </w:rPr>
      </w:pPr>
    </w:p>
    <w:p w14:paraId="4697F33D"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SMEs account for 60 to 70 % of jobs in most OECD countries, with a particularly large share in Italy and Japan, and a relatively smaller share in the United States 30 % to 60 % of SMEs can be characterized as innovative, of which some 10 % are technology-based. SMEs tend to be quicker in responding to new opportunities than large firms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"OECD", "given" : "", "non-dropping-particle" : "", "parse-names" : false, "suffix" : "" } ], "id" : "ITEM-1", "issued" : { "date-parts" : [ [ "1998" ] ] }, "number-of-pages" : "1-54", "publisher-place" : "Paris: France", "title" : "Small Businesses, Job creation and Growth: Facts, Obstacles and Best Practices", "type" : "report" }, "uris" : [ "http://www.mendeley.com/documents/?uuid=194c065c-f68e-4a70-a9d4-2c80b77c5ae4" ] } ], "mendeley" : { "formattedCitation" : "(OECD, 1998)", "plainTextFormattedCitation" : "(OECD, 1998)", "previouslyFormattedCitation" : "(OECD, 1998)"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(OECD, 1998)</w:t>
      </w:r>
      <w:r w:rsidRPr="005C7FE5">
        <w:rPr>
          <w:rFonts w:ascii="Times New Roman" w:hAnsi="Times New Roman" w:cs="Times New Roman"/>
        </w:rPr>
        <w:fldChar w:fldCharType="end"/>
      </w:r>
      <w:r w:rsidRPr="005C7FE5">
        <w:rPr>
          <w:rFonts w:ascii="Times New Roman" w:hAnsi="Times New Roman" w:cs="Times New Roman"/>
        </w:rPr>
        <w:t xml:space="preserve">. In Turkey there are 194.546 SMEs,  with of them 94.3% employing nine or less employees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"Aky\u00fcz", "given" : "Kadri Cemil", "non-dropping-particle" : "", "parse-names" : false, "suffix" : "" }, { "dropping-particle" : "", "family" : "Aky\u00fcz", "given" : "\u0130lker", "non-dropping-particle" : "", "parse-names" : false, "suffix" : "" }, { "dropping-particle" : "", "family" : "Ser\u0456n", "given" : "Hasan", "non-dropping-particle" : "", "parse-names" : false, "suffix" : "" }, { "dropping-particle" : "", "family" : "Cindik", "given" : "Hicabi", "non-dropping-particle" : "", "parse-names" : false, "suffix" : "" } ], "container-title" : "Forest Policy and Economics", "id" : "ITEM-1", "issue" : "3", "issued" : { "date-parts" : [ [ "2006", "4" ] ] }, "page" : "301-311", "title" : "The financing preferences and capital structure of micro, small and medium sized firm owners in forest products industry in Turkey", "type" : "article-journal", "volume" : "8" }, "uris" : [ "http://www.mendeley.com/documents/?uuid=e3a81256-b783-4122-a3b9-f6b28fdfd970" ] } ], "mendeley" : { "formattedCitation" : "(Aky\u00fcz, Aky\u00fcz, Ser\u0456n, &amp; Cindik, 2006)", "plainTextFormattedCitation" : "(Aky\u00fcz, Aky\u00fcz, Ser\u0456n, &amp; Cindik, 2006)", "previouslyFormattedCitation" : "(Aky\u00fcz, Aky\u00fcz, Ser\u0456n, &amp; Cindik, 2006)"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(Akyüz, Akyüz, Serіn, &amp; Cindik, 2006)</w:t>
      </w:r>
      <w:r w:rsidRPr="005C7FE5">
        <w:rPr>
          <w:rFonts w:ascii="Times New Roman" w:hAnsi="Times New Roman" w:cs="Times New Roman"/>
        </w:rPr>
        <w:fldChar w:fldCharType="end"/>
      </w:r>
      <w:r w:rsidRPr="005C7FE5">
        <w:rPr>
          <w:rFonts w:ascii="Times New Roman" w:hAnsi="Times New Roman" w:cs="Times New Roman"/>
        </w:rPr>
        <w:t xml:space="preserve">. Although SMEs are significant contributors to economic performance in every country, SMEs are less studied than large organizations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"Burke", "given" : "Ronald J", "non-dropping-particle" : "", "parse-names" : false, "suffix" : "" }, { "dropping-particle" : "", "family" : "El-Kot", "given" : "Ghada", "non-dropping-particle" : "", "parse-names" : false, "suffix" : "" } ], "container-title" : "Journal of Transnational Management", "id" : "ITEM-1", "issue" : "3", "issued" : { "date-parts" : [ [ "2014" ] ] }, "page" : "211-226", "title" : "Human Resource Management Practices in Small- and Medium-Sized Enterprises in Egypt", "type" : "article-journal", "volume" : "19" }, "uris" : [ "http://www.mendeley.com/documents/?uuid=a368c388-fda1-4206-a5d3-3a267c100c3b" ] } ], "mendeley" : { "formattedCitation" : "(Burke &amp; El-Kot, 2014)", "plainTextFormattedCitation" : "(Burke &amp; El-Kot, 2014)", "previouslyFormattedCitation" : "(Burke &amp; El-Kot, 2014)"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(Burke &amp; El-Kot, 2014)</w:t>
      </w:r>
      <w:r w:rsidRPr="005C7FE5">
        <w:rPr>
          <w:rFonts w:ascii="Times New Roman" w:hAnsi="Times New Roman" w:cs="Times New Roman"/>
        </w:rPr>
        <w:fldChar w:fldCharType="end"/>
      </w:r>
      <w:r w:rsidRPr="005C7FE5">
        <w:rPr>
          <w:rFonts w:ascii="Times New Roman" w:hAnsi="Times New Roman" w:cs="Times New Roman"/>
        </w:rPr>
        <w:t xml:space="preserve">.  </w:t>
      </w:r>
    </w:p>
    <w:p w14:paraId="4E5B47C5" w14:textId="77777777" w:rsidR="001D4CAB" w:rsidRPr="005C7FE5" w:rsidRDefault="001D4CAB" w:rsidP="001D4CAB">
      <w:pPr>
        <w:spacing w:after="0" w:line="240" w:lineRule="auto"/>
        <w:rPr>
          <w:rFonts w:ascii="Times New Roman" w:hAnsi="Times New Roman" w:cs="Times New Roman"/>
        </w:rPr>
      </w:pPr>
    </w:p>
    <w:p w14:paraId="1EDD3DE4"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According to,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"Southiseng", "given" : "Nittana", "non-dropping-particle" : "", "parse-names" : false, "suffix" : "" }, { "dropping-particle" : "", "family" : "Walsh", "given" : "John", "non-dropping-particle" : "", "parse-names" : false, "suffix" : "" } ], "container-title" : "asian journal of business management", "id" : "ITEM-1", "issue" : "3", "issued" : { "date-parts" : [ [ "2010" ] ] }, "page" : "57-72", "title" : "Competition and Management Issues of SME Entrepreneurs in Laos : Evidence from Empirical Studies in Vientiane Municipality , Savannakhet and Luang Prabang", "type" : "article-journal", "volume" : "2" }, "uris" : [ "http://www.mendeley.com/documents/?uuid=2a61fa69-271e-4393-a4f5-3d1131687c19" ] }, { "id" : "ITEM-2", "itemData" : { "author" : [ { "dropping-particle" : "", "family" : "Chidoko", "given" : "Clainos", "non-dropping-particle" : "", "parse-names" : false, "suffix" : "" }, { "dropping-particle" : "", "family" : "Makuyana", "given" : "Garikai", "non-dropping-particle" : "", "parse-names" : false, "suffix" : "" }, { "dropping-particle" : "", "family" : "Matungamire", "given" : "Paul", "non-dropping-particle" : "", "parse-names" : false, "suffix" : "" }, { "dropping-particle" : "", "family" : "Bemani", "given" : "Joseph", "non-dropping-particle" : "", "parse-names" : false, "suffix" : "" } ], "container-title" : "International Journal of Economics and Research", "id" : "ITEM-2", "issue" : "6", "issued" : { "date-parts" : [ [ "2011" ] ] }, "page" : "26-28", "title" : "IMPACT OF THE INFORMAL SECTOR ON THE CURRENT Zimbabwean economic environment", "type" : "article-journal", "volume" : "2" }, "uris" : [ "http://www.mendeley.com/documents/?uuid=59e8b366-c7dd-4a19-a7c9-0035bab063be" ] }, { "id" : "ITEM-3", "itemData" : { "author" : [ { "dropping-particle" : "", "family" : "Ackah", "given" : "A. J.", "non-dropping-particle" : "", "parse-names" : false, "suffix" : "" } ], "id" : "ITEM-3", "issued" : { "date-parts" : [ [ "2011" ] ] }, "publisher" : "Blekinge Tekniska Hogskola", "title" : "The challenges faced by small &amp; medium enterprises ( SMEs ) in obtaining credit in Ghana .", "type" : "thesis" }, "uris" : [ "http://www.mendeley.com/documents/?uuid=1f9639c5-d795-448d-b86a-31de5fc0a7d3" ] }, { "id" : "ITEM-4", "itemData" : { "author" : [ { "dropping-particle" : "", "family" : "Haron", "given" : "Datin Hasnah", "non-dropping-particle" : "", "parse-names" : false, "suffix" : "" }, { "dropping-particle" : "", "family" : "Ismail", "given" : "Dato Ishak", "non-dropping-particle" : "", "parse-names" : false, "suffix" : "" }, { "dropping-particle" : "", "family" : "Khalid", "given" : "Siti Nabiha Addul", "non-dropping-particle" : "", "parse-names" : false, "suffix" : "" }, { "dropping-particle" : "", "family" : "Ganesan", "given" : "Yuvaraj", "non-dropping-particle" : "", "parse-names" : false, "suffix" : "" } ], "container-title" : "Malaysia Accountancy Research and Education (MAREF).", "id" : "ITEM-4", "issued" : { "date-parts" : [ [ "2010" ] ] }, "title" : "Cases of successful Malaysian small and medium enterprises (SMEs): Does business advisory services help?", "type" : "article-journal" }, "uris" : [ "http://www.mendeley.com/documents/?uuid=b77a159c-6ab0-46f9-a466-ef5e4225af4f" ] } ], "mendeley" : { "formattedCitation" : "(Ackah, 2011; Chidoko, Makuyana, Matungamire, &amp; Bemani, 2011; Haron, Ismail, Khalid, &amp; Ganesan, 2010; Southiseng &amp; Walsh, 2010)", "manualFormatting" : "Ackah, (2011); Chidoko, Makuyana, Matungamire,and  Bemani, (2011); Haron, Ismail, Khalid, and  Ganesan, (2010); Southiseng and  Walsh, (2010)", "plainTextFormattedCitation" : "(Ackah, 2011; Chidoko, Makuyana, Matungamire, &amp; Bemani, 2011; Haron, Ismail, Khalid, &amp; Ganesan, 2010; Southiseng &amp; Walsh, 2010)", "previouslyFormattedCitation" : "(Ackah, 2011; Chidoko, Makuyana, Matungamire, &amp; Bemani, 2011; Haron, Ismail, Khalid, &amp; Ganesan, 2010; Southiseng &amp; Walsh, 2010)"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Ackah, (2011); Chidoko, Makuyana, Matungamire,and  Bemani, (2011); Haron, Ismail, Khalid, and  Ganesan, (2010); Southiseng and  Walsh, (2010)</w:t>
      </w:r>
      <w:r w:rsidRPr="005C7FE5">
        <w:rPr>
          <w:rFonts w:ascii="Times New Roman" w:hAnsi="Times New Roman" w:cs="Times New Roman"/>
        </w:rPr>
        <w:fldChar w:fldCharType="end"/>
      </w:r>
      <w:r w:rsidRPr="005C7FE5">
        <w:rPr>
          <w:rFonts w:ascii="Times New Roman" w:hAnsi="Times New Roman" w:cs="Times New Roman"/>
        </w:rPr>
        <w:t xml:space="preserve">, SMEs are facing many challenges in their struggle to keep the business intact. They suffer from limited access to financial sources, in addition to lack of focus, lack of good human resources, lack of skills and management techniques. SMEs also suffer from unfair government policy of government. Technological barriers, poor infrastructure and onerous </w:t>
      </w:r>
      <w:r w:rsidRPr="005C7FE5">
        <w:rPr>
          <w:rFonts w:ascii="Times New Roman" w:hAnsi="Times New Roman" w:cs="Times New Roman"/>
        </w:rPr>
        <w:lastRenderedPageBreak/>
        <w:t>regulations are other obstacle foe SMEs. This study will focus on the factors that influence SMEs competitiveness.</w:t>
      </w:r>
    </w:p>
    <w:p w14:paraId="289C07D5" w14:textId="77777777" w:rsidR="001D4CAB" w:rsidRPr="005C7FE5" w:rsidRDefault="001D4CAB" w:rsidP="001D4CAB">
      <w:pPr>
        <w:spacing w:after="0" w:line="240" w:lineRule="auto"/>
        <w:rPr>
          <w:rFonts w:ascii="Times New Roman" w:hAnsi="Times New Roman" w:cs="Times New Roman"/>
        </w:rPr>
      </w:pPr>
    </w:p>
    <w:p w14:paraId="04E52C1B"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Ireland, </w:t>
      </w:r>
      <w:proofErr w:type="spellStart"/>
      <w:r w:rsidRPr="005C7FE5">
        <w:rPr>
          <w:rFonts w:ascii="Times New Roman" w:hAnsi="Times New Roman" w:cs="Times New Roman"/>
        </w:rPr>
        <w:t>Hitt</w:t>
      </w:r>
      <w:proofErr w:type="spellEnd"/>
      <w:r w:rsidRPr="005C7FE5">
        <w:rPr>
          <w:rFonts w:ascii="Times New Roman" w:hAnsi="Times New Roman" w:cs="Times New Roman"/>
        </w:rPr>
        <w:t xml:space="preserve"> and </w:t>
      </w:r>
      <w:proofErr w:type="spellStart"/>
      <w:r w:rsidRPr="005C7FE5">
        <w:rPr>
          <w:rFonts w:ascii="Times New Roman" w:hAnsi="Times New Roman" w:cs="Times New Roman"/>
        </w:rPr>
        <w:t>Sirmon</w:t>
      </w:r>
      <w:proofErr w:type="spellEnd"/>
      <w:r w:rsidRPr="005C7FE5">
        <w:rPr>
          <w:rFonts w:ascii="Times New Roman" w:hAnsi="Times New Roman" w:cs="Times New Roman"/>
        </w:rPr>
        <w:t xml:space="preserve">, (2003), showed that SMEs are effective in identifying opportunities but less successful in developing competitive advantages needed to appropriate value from those opportunities. </w:t>
      </w:r>
      <w:proofErr w:type="spellStart"/>
      <w:r w:rsidRPr="005C7FE5">
        <w:t>Gürbüz</w:t>
      </w:r>
      <w:proofErr w:type="spellEnd"/>
      <w:r w:rsidRPr="005C7FE5">
        <w:t xml:space="preserve"> and </w:t>
      </w:r>
      <w:proofErr w:type="spellStart"/>
      <w:r w:rsidRPr="005C7FE5">
        <w:t>Aykol</w:t>
      </w:r>
      <w:proofErr w:type="spellEnd"/>
      <w:r w:rsidRPr="005C7FE5">
        <w:t xml:space="preserve"> (2009) stress that entrepreneurship is integral for organizations regardless to their size. Entrepreneurs always have original ideas and try to make difference in the market</w:t>
      </w:r>
      <w:r w:rsidRPr="005C7FE5">
        <w:rPr>
          <w:rFonts w:ascii="Times New Roman" w:hAnsi="Times New Roman" w:cs="Times New Roman"/>
        </w:rPr>
        <w:t xml:space="preserve">. Entrepreneurial behavior by many companies are regarded as essential to survive companies in a world increasingly driven by accelerating change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"Lyon", "given" : "D W", "non-dropping-particle" : "", "parse-names" : false, "suffix" : "" }, { "dropping-particle" : "", "family" : "Lumpkin", "given" : "G T", "non-dropping-particle" : "", "parse-names" : false, "suffix" : "" }, { "dropping-particle" : "", "family" : "Dess", "given" : "G D", "non-dropping-particle" : "", "parse-names" : false, "suffix" : "" } ], "container-title" : "Journal of Management", "id" : "ITEM-1", "issue" : "5", "issued" : { "date-parts" : [ [ "2000" ] ] }, "page" : "1055-1085", "title" : "Enhancing entrepreneurial orientation research: Operationalizing and measuring a key strategic decision making process", "type" : "article-journal", "volume" : "26" }, "uris" : [ "http://www.mendeley.com/documents/?uuid=a5eb735a-935d-47a3-b71b-fb3d854e9ef1" ] } ], "mendeley" : { "formattedCitation" : "(Lyon, Lumpkin, &amp; Dess, 2000)", "plainTextFormattedCitation" : "(Lyon, Lumpkin, &amp; Dess, 2000)", "previouslyFormattedCitation" : "(Lyon, Lumpkin, &amp; Dess, 2000)"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(Lyon, Lumpkin, &amp; Dess, 2000)</w:t>
      </w:r>
      <w:r w:rsidRPr="005C7FE5">
        <w:rPr>
          <w:rFonts w:ascii="Times New Roman" w:hAnsi="Times New Roman" w:cs="Times New Roman"/>
        </w:rPr>
        <w:fldChar w:fldCharType="end"/>
      </w:r>
      <w:r w:rsidRPr="005C7FE5">
        <w:rPr>
          <w:rFonts w:ascii="Times New Roman" w:hAnsi="Times New Roman" w:cs="Times New Roman"/>
        </w:rPr>
        <w:t xml:space="preserve">. As resources and capabilities are scarce in SMEs, entrepreneurs need to shoulder the responsibility of ensuring the survival and success of their firms. Flexibility in operations and adaptability to changes in SMEs offer a greater possibility to gain from unexpected changes and accidental discoveries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"Ong", "given" : "Jeen Wei", "non-dropping-particle" : "", "parse-names" : false, "suffix" : "" }, { "dropping-particle" : "Bin", "family" : "Ismail", "given" : "Hishamuddin", "non-dropping-particle" : "", "parse-names" : false, "suffix" : "" }, { "dropping-particle" : "", "family" : "Goh", "given" : "Gerald Guan Gan", "non-dropping-particle" : "", "parse-names" : false, "suffix" : "" } ], "container-title" : "Journal of Small Business &amp; Entrepreneurship", "id" : "ITEM-1", "issue" : "November 2014", "issued" : { "date-parts" : [ [ "2010" ] ] }, "page" : "373-391", "title" : "The Competitive Advantage of Small and Medium Enterprises (SMEs): The Role of Entrepreneurship and Luck", "type" : "article-journal", "volume" : "23" }, "uris" : [ "http://www.mendeley.com/documents/?uuid=d0d77799-95c9-4b65-bc93-70f3bb1547cb" ] } ], "mendeley" : { "formattedCitation" : "(Ong, Ismail, &amp; Goh, 2010)", "plainTextFormattedCitation" : "(Ong, Ismail, &amp; Goh, 2010)", "previouslyFormattedCitation" : "(Ong, Ismail, &amp; Goh, 2010)"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(Ong, Ismail, &amp; Goh, 2010)</w:t>
      </w:r>
      <w:r w:rsidRPr="005C7FE5">
        <w:rPr>
          <w:rFonts w:ascii="Times New Roman" w:hAnsi="Times New Roman" w:cs="Times New Roman"/>
        </w:rPr>
        <w:fldChar w:fldCharType="end"/>
      </w:r>
      <w:r w:rsidRPr="005C7FE5">
        <w:rPr>
          <w:rFonts w:ascii="Times New Roman" w:hAnsi="Times New Roman" w:cs="Times New Roman"/>
        </w:rPr>
        <w:t xml:space="preserve">. Entrepreneurship is also regarded as a fundamental element, instrumentally important to strategic innovation, particularly under shifting conditions in the firm's external environment. The same thing is true for any firm, regardless of its size and type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"abstract" : "This study presents a foreign language version of a popular scale for measuring entrepreneurship and tests the instrument's utility in cross - cultural settings as a means of validating it for use abroad. Entrepreneurship refers to the pursuit of creative or novel ... \\n", "author" : [ { "dropping-particle" : "", "family" : "Knight", "given" : "Gary A.", "non-dropping-particle" : "", "parse-names" : false, "suffix" : "" } ], "container-title" : "Journal of Business Venturing", "id" : "ITEM-1", "issue" : "3", "issued" : { "date-parts" : [ [ "1997" ] ] }, "page" : "213-225", "title" : "Cross-cultural Reliability and Validity of a Scale to Measure Firm Entrepreneurial Orientation", "type" : "article-journal", "volume" : "12" }, "uris" : [ "http://www.mendeley.com/documents/?uuid=4a897149-3f00-4572-bdda-148ff5ac9ae9" ] } ], "mendeley" : { "formattedCitation" : "(Knight, 1997)", "plainTextFormattedCitation" : "(Knight, 1997)", "previouslyFormattedCitation" : "(Knight, 1997)"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(Knight, 1997)</w:t>
      </w:r>
      <w:r w:rsidRPr="005C7FE5">
        <w:rPr>
          <w:rFonts w:ascii="Times New Roman" w:hAnsi="Times New Roman" w:cs="Times New Roman"/>
        </w:rPr>
        <w:fldChar w:fldCharType="end"/>
      </w:r>
      <w:r w:rsidRPr="005C7FE5">
        <w:rPr>
          <w:rFonts w:ascii="Times New Roman" w:hAnsi="Times New Roman" w:cs="Times New Roman"/>
        </w:rPr>
        <w:t>. Therefore, this study aims to investigate the impact of each dimension of entrepreneurial orientation on competitive advantage in Iraqi Kurdistan Region SMEs.</w:t>
      </w:r>
    </w:p>
    <w:p w14:paraId="66D9C459"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1DCC8AF6" w14:textId="4786DCFE" w:rsidR="001D4CAB" w:rsidRPr="005C7FE5" w:rsidRDefault="001D4CAB" w:rsidP="00362AFA">
      <w:pPr>
        <w:pStyle w:val="BodyText"/>
        <w:spacing w:after="0" w:line="240" w:lineRule="auto"/>
        <w:jc w:val="both"/>
        <w:rPr>
          <w:rFonts w:ascii="Times New Roman" w:hAnsi="Times New Roman" w:cs="Times New Roman"/>
        </w:rPr>
      </w:pPr>
      <w:r w:rsidRPr="005C7FE5">
        <w:rPr>
          <w:rFonts w:asciiTheme="majorBidi" w:hAnsiTheme="majorBidi" w:cstheme="majorBidi"/>
        </w:rPr>
        <w:t>The relationship between the EO and its CMA  has been thoroughly investigated, from both conceptual (</w:t>
      </w:r>
      <w:r w:rsidRPr="005C7FE5">
        <w:rPr>
          <w:rFonts w:asciiTheme="majorBidi" w:hAnsiTheme="majorBidi" w:cstheme="majorBidi"/>
        </w:rPr>
        <w:fldChar w:fldCharType="begin" w:fldLock="1"/>
      </w:r>
      <w:r w:rsidRPr="005C7FE5">
        <w:rPr>
          <w:rFonts w:asciiTheme="majorBidi" w:hAnsiTheme="majorBidi" w:cstheme="majorBidi"/>
        </w:rPr>
        <w:instrText>ADDIN CSL_CITATION { "citationItems" : [ { "id" : "ITEM-1", "itemData" : { "author" : [ { "dropping-particle" : "", "family" : "Alvarez", "given" : "S. A.", "non-dropping-particle" : "", "parse-names" : false, "suffix" : "" }, { "dropping-particle" : "", "family" : "Busenitz", "given" : "L. W.", "non-dropping-particle" : "", "parse-names" : false, "suffix" : "" } ], "container-title" : "Journal of Management", "id" : "ITEM-1", "issued" : { "date-parts" : [ [ "2001" ] ] }, "title" : "The entrepreneurship of resource-based theory", "type" : "article-journal" }, "uris" : [ "http://www.mendeley.com/documents/?uuid=56dacdbe-4661-4fac-b603-65cf0c786efb" ] } ], "mendeley" : { "formattedCitation" : "(Alvarez &amp; Busenitz, 2001)", "manualFormatting" : "Alvarez &amp; Busenitz, 2001)", "plainTextFormattedCitation" : "(Alvarez &amp; Busenitz, 2001)", "previouslyFormattedCitation" : "(Alvarez &amp; Busenitz, 2001)" }, "properties" : { "noteIndex" : 0 }, "schema" : "https://github.com/citation-style-language/schema/raw/master/csl-citation.json" }</w:instrText>
      </w:r>
      <w:r w:rsidRPr="005C7FE5">
        <w:rPr>
          <w:rFonts w:asciiTheme="majorBidi" w:hAnsiTheme="majorBidi" w:cstheme="majorBidi"/>
        </w:rPr>
        <w:fldChar w:fldCharType="separate"/>
      </w:r>
      <w:r w:rsidRPr="005C7FE5">
        <w:rPr>
          <w:rFonts w:asciiTheme="majorBidi" w:hAnsiTheme="majorBidi" w:cstheme="majorBidi"/>
          <w:noProof/>
        </w:rPr>
        <w:t>Alvarez &amp; Busenitz, 2001)</w:t>
      </w:r>
      <w:r w:rsidRPr="005C7FE5">
        <w:rPr>
          <w:rFonts w:asciiTheme="majorBidi" w:hAnsiTheme="majorBidi" w:cstheme="majorBidi"/>
        </w:rPr>
        <w:fldChar w:fldCharType="end"/>
      </w:r>
      <w:r w:rsidRPr="005C7FE5">
        <w:rPr>
          <w:rFonts w:asciiTheme="majorBidi" w:hAnsiTheme="majorBidi" w:cstheme="majorBidi"/>
        </w:rPr>
        <w:t xml:space="preserve"> and an empirical point of view </w:t>
      </w:r>
      <w:r w:rsidRPr="005C7FE5">
        <w:rPr>
          <w:rFonts w:asciiTheme="majorBidi" w:hAnsiTheme="majorBidi" w:cstheme="majorBidi"/>
        </w:rPr>
        <w:fldChar w:fldCharType="begin" w:fldLock="1"/>
      </w:r>
      <w:r w:rsidRPr="005C7FE5">
        <w:rPr>
          <w:rFonts w:asciiTheme="majorBidi" w:hAnsiTheme="majorBidi" w:cstheme="majorBidi"/>
        </w:rPr>
        <w:instrText>ADDIN CSL_CITATION { "citationItems" : [ { "id" : "ITEM-1", "itemData" : { "author" : [ { "dropping-particle" : "", "family" : "Gitau", "given" : "Geoffrey", "non-dropping-particle" : "", "parse-names" : false, "suffix" : "" }, { "dropping-particle" : "", "family" : "Mukulu", "given" : "Elegwa", "non-dropping-particle" : "", "parse-names" : false, "suffix" : "" }, { "dropping-particle" : "", "family" : "Kihoro", "given" : "John", "non-dropping-particle" : "", "parse-names" : false, "suffix" : "" } ], "id" : "ITEM-1", "issue" : "2", "issued" : { "date-parts" : [ [ "2016" ] ] }, "page" : "2010-2016", "title" : "Influence of Entrepreneurial Orientation on Competitive Advantage among Mobile Service Providers in Kenya", "type" : "article-journal", "volume" : "3" }, "uris" : [ "http://www.mendeley.com/documents/?uuid=d1094978-5a89-4dd7-8a59-ca02bc80f9f0" ] }, { "id" : "ITEM-2", "itemData" : { "author" : [ { "dropping-particle" : "", "family" : "Lechner", "given" : "C.", "non-dropping-particle" : "", "parse-names" : false, "suffix" : "" }, { "dropping-particle" : "V.", "family" : "Gudmundsson", "given" : "S.", "non-dropping-particle" : "", "parse-names" : false, "suffix" : "" } ], "container-title" : "International Small Business Journal", "id" : "ITEM-2", "issue" : "1", "issued" : { "date-parts" : [ [ "2014" ] ] }, "page" : "36-60", "title" : "Entrepreneurial orientation, firm strategy and small firm performance", "type" : "article-journal", "volume" : "32" }, "uris" : [ "http://www.mendeley.com/documents/?uuid=bfe257c8-b3a3-489b-a94e-257e62663ed7" ] } ], "mendeley" : { "formattedCitation" : "(Gitau, Mukulu, &amp; Kihoro, 2016; Lechner &amp; Gudmundsson, 2014)", "manualFormatting" : "(Gitau, Mukulu, &amp; Kihoro, (2016); Lechner &amp; Gudmundsson, 2014)", "plainTextFormattedCitation" : "(Gitau, Mukulu, &amp; Kihoro, 2016; Lechner &amp; Gudmundsson, 2014)", "previouslyFormattedCitation" : "(Gitau, Mukulu, &amp; Kihoro, 2016; Lechner &amp; Gudmundsson, 2014)" }, "properties" : { "noteIndex" : 0 }, "schema" : "https://github.com/citation-style-language/schema/raw/master/csl-citation.json" }</w:instrText>
      </w:r>
      <w:r w:rsidRPr="005C7FE5">
        <w:rPr>
          <w:rFonts w:asciiTheme="majorBidi" w:hAnsiTheme="majorBidi" w:cstheme="majorBidi"/>
        </w:rPr>
        <w:fldChar w:fldCharType="separate"/>
      </w:r>
      <w:r w:rsidRPr="005C7FE5">
        <w:rPr>
          <w:rFonts w:asciiTheme="majorBidi" w:hAnsiTheme="majorBidi" w:cstheme="majorBidi"/>
          <w:noProof/>
        </w:rPr>
        <w:t>(Gitau, Mukulu, &amp; Kihoro, (2016); Lechner &amp; Gudmundsson, 2014)</w:t>
      </w:r>
      <w:r w:rsidRPr="005C7FE5">
        <w:rPr>
          <w:rFonts w:asciiTheme="majorBidi" w:hAnsiTheme="majorBidi" w:cstheme="majorBidi"/>
        </w:rPr>
        <w:fldChar w:fldCharType="end"/>
      </w:r>
      <w:r w:rsidRPr="005C7FE5">
        <w:rPr>
          <w:rFonts w:asciiTheme="majorBidi" w:hAnsiTheme="majorBidi" w:cstheme="majorBidi"/>
        </w:rPr>
        <w:t>. However, many questions remain unanswered. The existing literature has two important limitations. The first is that most previous studies have been done in developed countries. The second is that researchers suggest that EO–performance relationship is moderated or mediated by many variables (</w:t>
      </w:r>
      <w:proofErr w:type="spellStart"/>
      <w:r w:rsidRPr="005C7FE5">
        <w:rPr>
          <w:rFonts w:asciiTheme="majorBidi" w:hAnsiTheme="majorBidi" w:cstheme="majorBidi"/>
        </w:rPr>
        <w:t>Messersmith</w:t>
      </w:r>
      <w:proofErr w:type="spellEnd"/>
      <w:r w:rsidRPr="005C7FE5">
        <w:rPr>
          <w:rFonts w:asciiTheme="majorBidi" w:hAnsiTheme="majorBidi" w:cstheme="majorBidi"/>
        </w:rPr>
        <w:t xml:space="preserve"> and Wales, 2011; Moreno &amp; Casillas, 2008; Rauch et al., 2009; Wales et al., 2011a). Thus, studies of moderator as an intervening factor between EO and performance are still not adequate and need further research in order to understand the causal mechanisms of EO effects on other variables (</w:t>
      </w:r>
      <w:proofErr w:type="spellStart"/>
      <w:r w:rsidRPr="005C7FE5">
        <w:rPr>
          <w:rFonts w:asciiTheme="majorBidi" w:hAnsiTheme="majorBidi" w:cstheme="majorBidi"/>
        </w:rPr>
        <w:t>Lechner</w:t>
      </w:r>
      <w:proofErr w:type="spellEnd"/>
      <w:r w:rsidRPr="005C7FE5">
        <w:rPr>
          <w:rFonts w:asciiTheme="majorBidi" w:hAnsiTheme="majorBidi" w:cstheme="majorBidi"/>
        </w:rPr>
        <w:t xml:space="preserve"> &amp; </w:t>
      </w:r>
      <w:proofErr w:type="spellStart"/>
      <w:r w:rsidRPr="005C7FE5">
        <w:rPr>
          <w:rFonts w:asciiTheme="majorBidi" w:hAnsiTheme="majorBidi" w:cstheme="majorBidi"/>
        </w:rPr>
        <w:t>Gudmundsson</w:t>
      </w:r>
      <w:proofErr w:type="spellEnd"/>
      <w:r w:rsidRPr="005C7FE5">
        <w:rPr>
          <w:rFonts w:asciiTheme="majorBidi" w:hAnsiTheme="majorBidi" w:cstheme="majorBidi"/>
        </w:rPr>
        <w:t>, 2014). Therefore, this study will seek to fill the gap in the existing literature through studying the moderated role of financial support between entrepreneurial orientations and competitive advantage in the SMEs in Iraqi Kurdistan Region.</w:t>
      </w:r>
      <w:r w:rsidRPr="005C7FE5">
        <w:rPr>
          <w:rFonts w:ascii="Times New Roman" w:hAnsi="Times New Roman" w:cs="Times New Roman"/>
        </w:rPr>
        <w:t xml:space="preserve"> </w:t>
      </w:r>
    </w:p>
    <w:p w14:paraId="4AFBD48F" w14:textId="77777777" w:rsidR="001D4CAB" w:rsidRPr="005C7FE5" w:rsidRDefault="001D4CAB" w:rsidP="001D4CAB">
      <w:pPr>
        <w:pStyle w:val="Heading1"/>
        <w:rPr>
          <w:color w:val="auto"/>
        </w:rPr>
      </w:pPr>
      <w:r w:rsidRPr="005C7FE5">
        <w:rPr>
          <w:color w:val="auto"/>
        </w:rPr>
        <w:t>Literature Review</w:t>
      </w:r>
    </w:p>
    <w:p w14:paraId="3A165FF2" w14:textId="20D39848" w:rsidR="001D4CAB" w:rsidRPr="005C7FE5" w:rsidRDefault="001D4CAB" w:rsidP="00AA503F">
      <w:pPr>
        <w:pStyle w:val="BodyText"/>
        <w:spacing w:after="0" w:line="240" w:lineRule="auto"/>
        <w:jc w:val="both"/>
        <w:rPr>
          <w:rFonts w:ascii="Times New Roman" w:hAnsi="Times New Roman" w:cs="Times New Roman"/>
        </w:rPr>
      </w:pPr>
      <w:r w:rsidRPr="005C7FE5">
        <w:rPr>
          <w:rFonts w:ascii="Times New Roman" w:hAnsi="Times New Roman" w:cs="Times New Roman"/>
        </w:rPr>
        <w:t xml:space="preserve">This section will focus on previous studies that related to entrepreneurial leadership, competitive advantage, and financial support. First, the study will attempt to explain competitive advantage, and explain the variables that may have influence it. Second, it will discuss entrepreneurial leadership which is an independent variable in this study. Then, it will focus on government support as moderating variable between entrepreneurial </w:t>
      </w:r>
      <w:r w:rsidR="00AA503F">
        <w:rPr>
          <w:rFonts w:ascii="Times New Roman" w:hAnsi="Times New Roman" w:cs="Times New Roman"/>
        </w:rPr>
        <w:t>orientation</w:t>
      </w:r>
      <w:r w:rsidRPr="005C7FE5">
        <w:rPr>
          <w:rFonts w:ascii="Times New Roman" w:hAnsi="Times New Roman" w:cs="Times New Roman"/>
        </w:rPr>
        <w:t xml:space="preserve"> and competitive advantage. </w:t>
      </w:r>
    </w:p>
    <w:p w14:paraId="076B9345" w14:textId="77777777" w:rsidR="001D4CAB" w:rsidRPr="005C7FE5" w:rsidRDefault="001D4CAB" w:rsidP="001D4CAB">
      <w:pPr>
        <w:autoSpaceDE w:val="0"/>
        <w:autoSpaceDN w:val="0"/>
        <w:adjustRightInd w:val="0"/>
        <w:spacing w:after="0" w:line="240" w:lineRule="auto"/>
        <w:rPr>
          <w:rFonts w:ascii="Times New Roman" w:hAnsi="Times New Roman" w:cs="Times New Roman"/>
          <w:sz w:val="12"/>
          <w:szCs w:val="12"/>
        </w:rPr>
      </w:pPr>
    </w:p>
    <w:p w14:paraId="44FD7510" w14:textId="77777777" w:rsidR="001D4CAB" w:rsidRPr="005C7FE5" w:rsidRDefault="001D4CAB" w:rsidP="001D4CAB">
      <w:pPr>
        <w:pStyle w:val="Heading2"/>
        <w:rPr>
          <w:color w:val="auto"/>
        </w:rPr>
      </w:pPr>
      <w:r w:rsidRPr="005C7FE5">
        <w:rPr>
          <w:color w:val="auto"/>
        </w:rPr>
        <w:t xml:space="preserve"> Competitive Advantage</w:t>
      </w:r>
    </w:p>
    <w:p w14:paraId="4A80CD17" w14:textId="77777777" w:rsidR="001D4CAB" w:rsidRPr="005C7FE5" w:rsidRDefault="001D4CAB" w:rsidP="001D4CAB">
      <w:pPr>
        <w:spacing w:line="240" w:lineRule="auto"/>
        <w:rPr>
          <w:rFonts w:ascii="Times New Roman" w:hAnsi="Times New Roman" w:cs="Times New Roman"/>
        </w:rPr>
      </w:pPr>
      <w:r w:rsidRPr="005C7FE5">
        <w:rPr>
          <w:rFonts w:ascii="Times New Roman" w:hAnsi="Times New Roman" w:cs="Times New Roman"/>
        </w:rPr>
        <w:t>To survive and win, a firm has to gain advantage over its competitors and earn a profit. The firm gains competitive advantage (CMA) by being better than their competitors at doing valuable things for their customers</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"ISBN" : "0-07-121429-1", "author" : [ { "dropping-particle" : "", "family" : "Bateman", "given" : "thomas S.", "non-dropping-particle" : "", "parse-names" : false, "suffix" : "" }, { "dropping-particle" : "", "family" : "Snell", "given" : "Scott A.", "non-dropping-particle" : "", "parse-names" : false, "suffix" : "" } ], "edition" : "6th ed", "id" : "ITEM-1", "issued" : { "date-parts" : [ [ "2004" ] ] }, "publisher" : "McGraw Hill", "publisher-place" : "New York", "title" : "Management : the new competitive landscope", "type" : "book" }, "uris" : [ "http://www.mendeley.com/documents/?uuid=42c247e6-c575-4391-bd8c-3134649ba447" ] } ], "mendeley" : { "formattedCitation" : "(Bateman &amp; Snell, 2004)", "manualFormatting" : "(Bateman &amp; Snell 2004)", "plainTextFormattedCitation" : "(Bateman &amp; Snell, 2004)", "previouslyFormattedCitation" : "(Bateman &amp; Snell, 2004)"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(Bateman &amp; Snell 2004)</w:t>
      </w:r>
      <w:r w:rsidRPr="005C7FE5">
        <w:rPr>
          <w:rFonts w:ascii="Times New Roman" w:hAnsi="Times New Roman" w:cs="Times New Roman"/>
        </w:rPr>
        <w:fldChar w:fldCharType="end"/>
      </w:r>
      <w:r w:rsidRPr="005C7FE5">
        <w:rPr>
          <w:rFonts w:ascii="Times New Roman" w:hAnsi="Times New Roman" w:cs="Times New Roman"/>
        </w:rPr>
        <w:t xml:space="preserve">. Competitive advantage has been defined in many different ways. For instance, Porter (1985) sees that competitive advantage refers to the comparative positional superiority in the marketplace that leads a firm to outperform its rivals. While,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"ISBN" : "9780078112737", "author" : [ { "dropping-particle" : "", "family" : "Rothaermel", "given" : "Frank T.", "non-dropping-particle" : "", "parse-names" : false, "suffix" : "" } ], "id" : "ITEM-1", "issued" : { "date-parts" : [ [ "2013" ] ] }, "publisher" : "McGraw Hill/ Irwan", "publisher-place" : "New York", "title" : "Strategic Management , Concepts and Cases", "type" : "book" }, "uris" : [ "http://www.mendeley.com/documents/?uuid=adad7d6b-f274-4ccc-821e-6359419d6fce" ] } ], "mendeley" : { "formattedCitation" : "(Rothaermel, 2013)", "manualFormatting" : "Rothaermel (2013)", "plainTextFormattedCitation" : "(Rothaermel, 2013)", "previouslyFormattedCitation" : "(Rothaermel, 2013)"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Rothaermel (2013)</w:t>
      </w:r>
      <w:r w:rsidRPr="005C7FE5">
        <w:rPr>
          <w:rFonts w:ascii="Times New Roman" w:hAnsi="Times New Roman" w:cs="Times New Roman"/>
        </w:rPr>
        <w:fldChar w:fldCharType="end"/>
      </w:r>
      <w:r w:rsidRPr="005C7FE5">
        <w:rPr>
          <w:rFonts w:ascii="Times New Roman" w:hAnsi="Times New Roman" w:cs="Times New Roman"/>
        </w:rPr>
        <w:t xml:space="preserve"> defines CMA as the way that  a firm formulates and implements a strategy that leads to superior performance relative to other competitors in the same industry. So, competitive advantage is the ability of an organization to add more value for its customers than its rivals, and thus attain a position of relative advantage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"ISBN" : "1861525877", "author" : [ { "dropping-particle" : "", "family" : "Thompson", "given" : "John L", "non-dropping-particle" : "", "parse-names" : false, "suffix" : "" } ], "edition" : "5th ed", "id" : "ITEM-1", "issued" : { "date-parts" : [ [ "2001" ] ] }, "publisher" : "Thomsom Learning", "publisher-place" : "London", "title" : "strategy management", "type" : "book" }, "uris" : [ "http://www.mendeley.com/documents/?uuid=102f612a-b176-4108-8510-4cbafde391f2" ] } ], "mendeley" : { "formattedCitation" : "(Thompson, 2001)", "plainTextFormattedCitation" : "(Thompson, 2001)", "previouslyFormattedCitation" : "(Thompson, 2001)"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(Thompson, 2001)</w:t>
      </w:r>
      <w:r w:rsidRPr="005C7FE5">
        <w:rPr>
          <w:rFonts w:ascii="Times New Roman" w:hAnsi="Times New Roman" w:cs="Times New Roman"/>
        </w:rPr>
        <w:fldChar w:fldCharType="end"/>
      </w:r>
      <w:r w:rsidRPr="005C7FE5">
        <w:rPr>
          <w:rFonts w:ascii="Times New Roman" w:hAnsi="Times New Roman" w:cs="Times New Roman"/>
        </w:rPr>
        <w:t>.</w:t>
      </w:r>
    </w:p>
    <w:p w14:paraId="4A48C2DF"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Based on what has been mentioned above, this study defines competitive advantage as the result of a process of strategy formulation adopted by a firm with the purpose of providing added value (differentiation and low-cost) to customers resulting in an advantageous position to the firm over its competitors for a period of time.</w:t>
      </w:r>
    </w:p>
    <w:p w14:paraId="6468C4D8" w14:textId="77777777" w:rsidR="001D4CAB" w:rsidRPr="005C7FE5" w:rsidRDefault="001D4CAB" w:rsidP="001D4CAB">
      <w:pPr>
        <w:spacing w:after="0" w:line="240" w:lineRule="auto"/>
        <w:rPr>
          <w:rFonts w:ascii="Times New Roman" w:hAnsi="Times New Roman" w:cs="Times New Roman"/>
        </w:rPr>
      </w:pPr>
    </w:p>
    <w:p w14:paraId="22547886" w14:textId="77777777" w:rsidR="001D4CAB" w:rsidRPr="005C7FE5" w:rsidRDefault="001D4CAB" w:rsidP="001D4CAB">
      <w:pPr>
        <w:spacing w:after="0" w:line="240" w:lineRule="auto"/>
        <w:rPr>
          <w:rFonts w:ascii="Times New Roman" w:hAnsi="Times New Roman" w:cs="Times New Roman"/>
          <w:sz w:val="6"/>
          <w:szCs w:val="6"/>
        </w:rPr>
      </w:pPr>
    </w:p>
    <w:p w14:paraId="1DA06F4B" w14:textId="77777777" w:rsidR="001D4CAB" w:rsidRPr="005C7FE5" w:rsidRDefault="001D4CAB" w:rsidP="001D4CAB">
      <w:pPr>
        <w:pStyle w:val="Heading2"/>
        <w:rPr>
          <w:color w:val="auto"/>
        </w:rPr>
      </w:pPr>
      <w:r w:rsidRPr="005C7FE5">
        <w:rPr>
          <w:color w:val="auto"/>
        </w:rPr>
        <w:lastRenderedPageBreak/>
        <w:t>Entrepreneurial Orientation</w:t>
      </w:r>
    </w:p>
    <w:p w14:paraId="2EDA5615"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Entrepreneurship as a characteristic attitude or process of organizations is now recognized by many firms and scholars as a critical factor in company success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"abstract" : "This study presents a foreign language version of a popular scale for measuring entrepreneurship and tests the instrument's utility in cross - cultural settings as a means of validating it for use abroad. Entrepreneurship refers to the pursuit of creative or novel ... \\n", "author" : [ { "dropping-particle" : "", "family" : "Knight", "given" : "Gary A.", "non-dropping-particle" : "", "parse-names" : false, "suffix" : "" } ], "container-title" : "Journal of Business Venturing", "id" : "ITEM-1", "issue" : "3", "issued" : { "date-parts" : [ [ "1997" ] ] }, "page" : "213-225", "title" : "Cross-cultural Reliability and Validity of a Scale to Measure Firm Entrepreneurial Orientation", "type" : "article-journal", "volume" : "12" }, "uris" : [ "http://www.mendeley.com/documents/?uuid=4a897149-3f00-4572-bdda-148ff5ac9ae9" ] } ], "mendeley" : { "formattedCitation" : "(Knight, 1997)", "plainTextFormattedCitation" : "(Knight, 1997)", "previouslyFormattedCitation" : "(Knight, 1997)"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(Knight, 1997)</w:t>
      </w:r>
      <w:r w:rsidRPr="005C7FE5">
        <w:rPr>
          <w:rFonts w:ascii="Times New Roman" w:hAnsi="Times New Roman" w:cs="Times New Roman"/>
        </w:rPr>
        <w:fldChar w:fldCharType="end"/>
      </w:r>
      <w:r w:rsidRPr="005C7FE5">
        <w:rPr>
          <w:rFonts w:ascii="Times New Roman" w:hAnsi="Times New Roman" w:cs="Times New Roman"/>
        </w:rPr>
        <w:t xml:space="preserve">. Despite general agreement on the effects of entrepreneurship in various organizations, there is some debate regarding the definition and operationalization of entrepreneurship. Gartner (1988), defined entrepreneurship as a role that individuals undertake to create new organizations. According to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"abstract" : "This study presents a foreign language version of a popular scale for measuring entrepreneurship and tests the instrument's utility in cross - cultural settings as a means of validating it for use abroad. Entrepreneurship refers to the pursuit of creative or novel ... \\n", "author" : [ { "dropping-particle" : "", "family" : "Knight", "given" : "Gary A.", "non-dropping-particle" : "", "parse-names" : false, "suffix" : "" } ], "container-title" : "Journal of Business Venturing", "id" : "ITEM-1", "issue" : "3", "issued" : { "date-parts" : [ [ "1997" ] ] }, "page" : "213-225", "title" : "Cross-cultural Reliability and Validity of a Scale to Measure Firm Entrepreneurial Orientation", "type" : "article-journal", "volume" : "12" }, "uris" : [ "http://www.mendeley.com/documents/?uuid=4a897149-3f00-4572-bdda-148ff5ac9ae9" ] } ], "mendeley" : { "formattedCitation" : "(Knight, 1997)", "manualFormatting" : "Knight (1997", "plainTextFormattedCitation" : "(Knight, 1997)", "previouslyFormattedCitation" : "(Knight, 1997)"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Knight (1997</w:t>
      </w:r>
      <w:r w:rsidRPr="005C7FE5">
        <w:rPr>
          <w:rFonts w:ascii="Times New Roman" w:hAnsi="Times New Roman" w:cs="Times New Roman"/>
        </w:rPr>
        <w:fldChar w:fldCharType="end"/>
      </w:r>
      <w:r w:rsidRPr="005C7FE5">
        <w:rPr>
          <w:rFonts w:ascii="Times New Roman" w:hAnsi="Times New Roman" w:cs="Times New Roman"/>
        </w:rPr>
        <w:t xml:space="preserve">), entrepreneurship refers" to the pursuit of creative and novel solutions to challenges confronting the firm, including the development or enhancement of products and services, as well as new administrative techniques and technologies for performing organizational functions”. Whereas, entrepreneurship showed as “a process of enhancement of wealth through innovation and exploitation of opportunities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"Nasution", "given" : "Hanny N.", "non-dropping-particle" : "", "parse-names" : false, "suffix" : "" }, { "dropping-particle" : "", "family" : "Mavondo", "given" : "Felix T.", "non-dropping-particle" : "", "parse-names" : false, "suffix" : "" }, { "dropping-particle" : "", "family" : "Matanda", "given" : "Margaret Jekanyika", "non-dropping-particle" : "", "parse-names" : false, "suffix" : "" }, { "dropping-particle" : "", "family" : "Ndubisi", "given" : "Nelson Oly", "non-dropping-particle" : "", "parse-names" : false, "suffix" : "" } ], "container-title" : "Industrial Marketing Management", "id" : "ITEM-1", "issue" : "3", "issued" : { "date-parts" : [ [ "2011" ] ] }, "page" : "336-345", "publisher" : "Elsevier Inc.", "title" : "Entrepreneurship: Its relationship with market orientation and learning orientation and as antecedents to innovation and customer value", "type" : "article-journal", "volume" : "40" }, "uris" : [ "http://www.mendeley.com/documents/?uuid=1978639d-9d2f-4ed4-99c5-703e75867d40" ] } ], "mendeley" : { "formattedCitation" : "(Nasution, Mavondo, Matanda, &amp; Ndubisi, 2011)", "plainTextFormattedCitation" : "(Nasution, Mavondo, Matanda, &amp; Ndubisi, 2011)", "previouslyFormattedCitation" : "(Nasution, Mavondo, Matanda, &amp; Ndubisi, 2011)"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(Nasution, Mavondo, Matanda, &amp; Ndubisi, 2011)</w:t>
      </w:r>
      <w:r w:rsidRPr="005C7FE5">
        <w:rPr>
          <w:rFonts w:ascii="Times New Roman" w:hAnsi="Times New Roman" w:cs="Times New Roman"/>
        </w:rPr>
        <w:fldChar w:fldCharType="end"/>
      </w:r>
      <w:r w:rsidRPr="005C7FE5">
        <w:rPr>
          <w:rFonts w:ascii="Times New Roman" w:hAnsi="Times New Roman" w:cs="Times New Roman"/>
        </w:rPr>
        <w:t xml:space="preserve">. Miller (1983) define EO in terms of its components that are composed of an innovative mindset characterized by risk taking and a proactive approach to marketplace competitiveness. </w:t>
      </w:r>
    </w:p>
    <w:p w14:paraId="09252233"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709DA556"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Some scholars favor approaching entrepreneurship as an organizational behavior rather than an individual action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"Covin", "given" : "Jeffrey G", "non-dropping-particle" : "", "parse-names" : false, "suffix" : "" }, { "dropping-particle" : "", "family" : "Slevin", "given" : "DP", "non-dropping-particle" : "", "parse-names" : false, "suffix" : "" } ], "container-title" : "Entrepreneurship theory and practice", "id" : "ITEM-1", "issue" : "1", "issued" : { "date-parts" : [ [ "1991" ] ] }, "page" : "7-25", "title" : "A conceptual model of entrepreneurship as firm behavior", "type" : "article-journal", "volume" : "16" }, "uris" : [ "http://www.mendeley.com/documents/?uuid=8876e6e0-2320-4aa7-a2fd-c08f953bb1de" ] }, { "id" : "ITEM-2", "itemData" : { "author" : [ { "dropping-particle" : "", "family" : "Covin", "given" : "Jg", "non-dropping-particle" : "", "parse-names" : false, "suffix" : "" }, { "dropping-particle" : "", "family" : "Slevin", "given" : "Dp", "non-dropping-particle" : "", "parse-names" : false, "suffix" : "" } ], "container-title" : "Journal of management studies", "id" : "ITEM-2", "issue" : "May", "issued" : { "date-parts" : [ [ "1988" ] ] }, "page" : "217-234", "title" : "The influence of organization structure on the utility of an entrepreneurial top management style", "type" : "article-journal", "volume" : "25" }, "uris" : [ "http://www.mendeley.com/documents/?uuid=32767d24-1559-410f-8a82-b824992a322d" ] }, { "id" : "ITEM-3", "itemData" : { "author" : [ { "dropping-particle" : "", "family" : "Wiklund", "given" : "J", "non-dropping-particle" : "", "parse-names" : false, "suffix" : "" }, { "dropping-particle" : "", "family" : "Shepherd", "given" : "D", "non-dropping-particle" : "", "parse-names" : false, "suffix" : "" } ], "container-title" : "Strategic Management Journal", "id" : "ITEM-3", "issue" : "13", "issued" : { "date-parts" : [ [ "2003" ] ] }, "page" : "1307-1314", "title" : "Knowledge-based resources, entrepreneurial orientation, and the performance of small and medium-sized businesses", "type" : "article-journal", "volume" : "24" }, "uris" : [ "http://www.mendeley.com/documents/?uuid=e987eadc-3326-40cb-b4b4-4fdeed3e13bd" ] }, { "id" : "ITEM-4", "itemData" : { "author" : [ { "dropping-particle" : "", "family" : "Kreiser", "given" : "Patrick M", "non-dropping-particle" : "", "parse-names" : false, "suffix" : "" }, { "dropping-particle" : "", "family" : "Marino", "given" : "Louis D", "non-dropping-particle" : "", "parse-names" : false, "suffix" : "" }, { "dropping-particle" : "", "family" : "Weaver", "given" : "K Mark", "non-dropping-particle" : "", "parse-names" : false, "suffix" : "" } ], "container-title" : "Entrepreneurship: Theory &amp; Practice", "id" : "ITEM-4", "issue" : "4", "issued" : { "date-parts" : [ [ "2002" ] ] }, "page" : "71", "title" : "Assessing the Psychometric Properties of the Entrepreneurial Orientation Scale: A Multi-Country Analysis.", "type" : "article-journal", "volume" : "26" }, "uris" : [ "http://www.mendeley.com/documents/?uuid=9dfdb34d-85cd-4609-8f03-cd91077a4345" ] }, { "id" : "ITEM-5", "itemData" : { "author" : [ { "dropping-particle" : "", "family" : "Zulkifli", "given" : "Rm", "non-dropping-particle" : "", "parse-names" : false, "suffix" : "" }, { "dropping-particle" : "", "family" : "Rosli", "given" : "Mm", "non-dropping-particle" : "", "parse-names" : false, "suffix" : "" } ], "container-title" : "International Journal of Humanities and Social Science", "id" : "ITEM-5", "issue" : "10", "issued" : { "date-parts" : [ [ "2013" ] ] }, "page" : "264-275", "title" : "Entrepreneurial Orientation and Business Success of Malay Entrepreneurs: Religiosity as Moderator", "type" : "article-journal", "volume" : "3" }, "uris" : [ "http://www.mendeley.com/documents/?uuid=94ce923c-405f-490c-8a35-e27c50eeaf34" ] }, { "id" : "ITEM-6", "itemData" : { "author" : [ { "dropping-particle" : "", "family" : "G\u00fcrb\u00fcz", "given" : "G\u00fclruh", "non-dropping-particle" : "", "parse-names" : false, "suffix" : "" }, { "dropping-particle" : "", "family" : "Aykol", "given" : "Sinem", "non-dropping-particle" : "", "parse-names" : false, "suffix" : "" } ], "container-title" : "Management Research News", "id" : "ITEM-6", "issue" : "4", "issued" : { "date-parts" : [ [ "2009" ] ] }, "page" : "321-336", "title" : "Entrepreneurial management, entrepreneurial orientation and Turkish small firm growth", "type" : "article-journal", "volume" : "32" }, "uris" : [ "http://www.mendeley.com/documents/?uuid=fcaeb161-29ab-4403-b9b5-bfd52a526e38" ] } ], "mendeley" : { "formattedCitation" : "(J. G. Covin &amp; Slevin, 1991; J. Covin &amp; Slevin, 1988; G\u00fcrb\u00fcz &amp; Aykol, 2009; Kreiser, Marino, &amp; Weaver, 2002; J Wiklund &amp; Shepherd, 2003; Zulkifli &amp; Rosli, 2013)", "manualFormatting" : "(Covin &amp; Slevin, 1991; Covin &amp; Slevin, 1988; G\u00fcrb\u00fcz &amp; Aykol, 2009; Kreiser, Marino, &amp; Weaver, 2002; Wiklund &amp; Shepherd, 2003; Zulkifli &amp; Rosli, 2013)", "plainTextFormattedCitation" : "(J. G. Covin &amp; Slevin, 1991; J. Covin &amp; Slevin, 1988; G\u00fcrb\u00fcz &amp; Aykol, 2009; Kreiser, Marino, &amp; Weaver, 2002; J Wiklund &amp; Shepherd, 2003; Zulkifli &amp; Rosli, 2013)", "previouslyFormattedCitation" : "(J. G. Covin &amp; Slevin, 1991; J. Covin &amp; Slevin, 1988; G\u00fcrb\u00fcz &amp; Aykol, 2009; Kreiser, Marino, &amp; Weaver, 2002; J Wiklund &amp; Shepherd, 2003; Zulkifli &amp; Rosli, 2013)"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(Covin &amp; Slevin, 1991; Covin &amp; Slevin, 1988; Gürbüz &amp; Aykol, 2009; Kreiser, Marino, &amp; Weaver, 2002; Wiklund &amp; Shepherd, 2003; Zulkifli &amp; Rosli, 2013)</w:t>
      </w:r>
      <w:r w:rsidRPr="005C7FE5">
        <w:rPr>
          <w:rFonts w:ascii="Times New Roman" w:hAnsi="Times New Roman" w:cs="Times New Roman"/>
        </w:rPr>
        <w:fldChar w:fldCharType="end"/>
      </w:r>
      <w:r w:rsidRPr="005C7FE5">
        <w:rPr>
          <w:rFonts w:ascii="Times New Roman" w:hAnsi="Times New Roman" w:cs="Times New Roman"/>
        </w:rPr>
        <w:t xml:space="preserve">. According to  </w:t>
      </w:r>
      <w:r w:rsidRPr="005C7FE5">
        <w:rPr>
          <w:rFonts w:ascii="Times New Roman" w:hAnsi="Times New Roman" w:cs="Times New Roman"/>
          <w:noProof/>
          <w:lang w:eastAsia="en-CA"/>
        </w:rPr>
        <w:fldChar w:fldCharType="begin" w:fldLock="1"/>
      </w:r>
      <w:r w:rsidRPr="005C7FE5">
        <w:rPr>
          <w:rFonts w:ascii="Times New Roman" w:hAnsi="Times New Roman" w:cs="Times New Roman"/>
          <w:noProof/>
          <w:lang w:eastAsia="en-CA"/>
        </w:rPr>
        <w:instrText>ADDIN CSL_CITATION { "citationItems" : [ { "id" : "ITEM-1", "itemData" : { "author" : [ { "dropping-particle" : "", "family" : "Covin", "given" : "Jeffrey G", "non-dropping-particle" : "", "parse-names" : false, "suffix" : "" }, { "dropping-particle" : "", "family" : "Slevin", "given" : "DP", "non-dropping-particle" : "", "parse-names" : false, "suffix" : "" } ], "container-title" : "Entrepreneurship theory and practice", "id" : "ITEM-1", "issue" : "1", "issued" : { "date-parts" : [ [ "1991" ] ] }, "page" : "7-25", "title" : "A conceptual model of entrepreneurship as firm behavior", "type" : "article-journal", "volume" : "16" }, "uris" : [ "http://www.mendeley.com/documents/?uuid=8876e6e0-2320-4aa7-a2fd-c08f953bb1de" ] } ], "mendeley" : { "formattedCitation" : "(J. G. Covin &amp; Slevin, 1991)", "manualFormatting" : " Covin &amp; Slevin, (1991", "plainTextFormattedCitation" : "(J. G. Covin &amp; Slevin, 1991)", "previouslyFormattedCitation" : "(J. G. Covin &amp; Slevin, 1991)" }, "properties" : { "noteIndex" : 0 }, "schema" : "https://github.com/citation-style-language/schema/raw/master/csl-citation.json" }</w:instrText>
      </w:r>
      <w:r w:rsidRPr="005C7FE5">
        <w:rPr>
          <w:rFonts w:ascii="Times New Roman" w:hAnsi="Times New Roman" w:cs="Times New Roman"/>
          <w:noProof/>
          <w:lang w:eastAsia="en-CA"/>
        </w:rPr>
        <w:fldChar w:fldCharType="separate"/>
      </w:r>
      <w:r w:rsidRPr="005C7FE5">
        <w:rPr>
          <w:rFonts w:ascii="Times New Roman" w:hAnsi="Times New Roman" w:cs="Times New Roman"/>
          <w:noProof/>
          <w:lang w:eastAsia="en-CA"/>
        </w:rPr>
        <w:t xml:space="preserve"> Covin &amp; Slevin, (1991</w:t>
      </w:r>
      <w:r w:rsidRPr="005C7FE5">
        <w:rPr>
          <w:rFonts w:ascii="Times New Roman" w:hAnsi="Times New Roman" w:cs="Times New Roman"/>
          <w:noProof/>
          <w:lang w:eastAsia="en-CA"/>
        </w:rPr>
        <w:fldChar w:fldCharType="end"/>
      </w:r>
      <w:r w:rsidRPr="005C7FE5">
        <w:rPr>
          <w:rFonts w:ascii="Times New Roman" w:hAnsi="Times New Roman" w:cs="Times New Roman"/>
          <w:noProof/>
          <w:lang w:eastAsia="en-CA"/>
        </w:rPr>
        <w:t xml:space="preserve">),  a firm-level of entrepreneurship is appropriate because entrepreneurial effectiveness is arguably a firm-level phenomenon. In ther word it is an entrepreneur’s  effectiveness that can be measured in terms of his or her firm’s performance. Firm performance is a function of organizational- as well as individual-level bevavior. </w:t>
      </w:r>
      <w:r w:rsidRPr="005C7FE5">
        <w:rPr>
          <w:rFonts w:ascii="Times New Roman" w:hAnsi="Times New Roman" w:cs="Times New Roman"/>
        </w:rPr>
        <w:t xml:space="preserve"> Based on these propositions, this research will study the entrepreneurship at the firm level.</w:t>
      </w:r>
    </w:p>
    <w:p w14:paraId="6ADCD7E4"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35532536"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Most of the researchers in the field of entrepreneurship stressed that firms are entrepreneurial if they pursue innovative, risk taking and proactive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"Kreiser", "given" : "Patrick M", "non-dropping-particle" : "", "parse-names" : false, "suffix" : "" }, { "dropping-particle" : "", "family" : "Marino", "given" : "Louis D", "non-dropping-particle" : "", "parse-names" : false, "suffix" : "" }, { "dropping-particle" : "", "family" : "Weaver", "given" : "K Mark", "non-dropping-particle" : "", "parse-names" : false, "suffix" : "" } ], "container-title" : "Entrepreneurship: Theory &amp; Practice", "id" : "ITEM-1", "issue" : "4", "issued" : { "date-parts" : [ [ "2002" ] ] }, "page" : "71", "title" : "Assessing the Psychometric Properties of the Entrepreneurial Orientation Scale: A Multi-Country Analysis.", "type" : "article-journal", "volume" : "26" }, "uris" : [ "http://www.mendeley.com/documents/?uuid=9dfdb34d-85cd-4609-8f03-cd91077a4345" ] }, { "id" : "ITEM-2", "itemData" : { "author" : [ { "dropping-particle" : "", "family" : "Miller", "given" : "D.", "non-dropping-particle" : "", "parse-names" : false, "suffix" : "" } ], "container-title" : "Management Science", "id" : "ITEM-2", "issue" : "7", "issued" : { "date-parts" : [ [ "1983" ] ] }, "page" : "770-791", "title" : "The Correlates of Entrepreneurship in Three Types of Firms", "type" : "article-journal", "volume" : "29" }, "uris" : [ "http://www.mendeley.com/documents/?uuid=cfc9bf74-3016-4a33-8721-c4ad94f6ad19" ] }, { "id" : "ITEM-3", "itemData" : { "author" : [ { "dropping-particle" : "", "family" : "Covin", "given" : "Jg", "non-dropping-particle" : "", "parse-names" : false, "suffix" : "" }, { "dropping-particle" : "", "family" : "Slevin", "given" : "Dp", "non-dropping-particle" : "", "parse-names" : false, "suffix" : "" } ], "container-title" : "Journal of management studies", "id" : "ITEM-3", "issue" : "May", "issued" : { "date-parts" : [ [ "1988" ] ] }, "page" : "217-234", "title" : "The influence of organization structure on the utility of an entrepreneurial top management style", "type" : "article-journal", "volume" : "25" }, "uris" : [ "http://www.mendeley.com/documents/?uuid=32767d24-1559-410f-8a82-b824992a322d" ] }, { "id" : "ITEM-4", "itemData" : { "author" : [ { "dropping-particle" : "", "family" : "Covin", "given" : "Jeffrey G", "non-dropping-particle" : "", "parse-names" : false, "suffix" : "" }, { "dropping-particle" : "", "family" : "Slevin", "given" : "DP", "non-dropping-particle" : "", "parse-names" : false, "suffix" : "" } ], "container-title" : "Entrepreneurship theory and practice", "id" : "ITEM-4", "issue" : "1", "issued" : { "date-parts" : [ [ "1991" ] ] }, "page" : "7-25", "title" : "A conceptual model of entrepreneurship as firm behavior", "type" : "article-journal", "volume" : "16" }, "uris" : [ "http://www.mendeley.com/documents/?uuid=8876e6e0-2320-4aa7-a2fd-c08f953bb1de" ] }, { "id" : "ITEM-5", "itemData" : { "DOI" : "10.1016/j.jbusvent.2004.01.001", "ISSN" : "08839026", "author" : [ { "dropping-particle" : "", "family" : "Wiklund", "given" : "Johan", "non-dropping-particle" : "", "parse-names" : false, "suffix" : "" }, { "dropping-particle" : "", "family" : "Shepherd", "given" : "Dean", "non-dropping-particle" : "", "parse-names" : false, "suffix" : "" } ], "container-title" : "Journal of Business Venturing", "id" : "ITEM-5", "issue" : "1", "issued" : { "date-parts" : [ [ "2005" ] ] }, "page" : "71-91", "title" : "Entrepreneurial orientation and small business performance: a configurational approach", "type" : "article-journal", "volume" : "20" }, "uris" : [ "http://www.mendeley.com/documents/?uuid=a22a3c2e-4170-4e5d-9eca-817acf9549f7" ] }, { "id" : "ITEM-6", "itemData" : { "author" : [ { "dropping-particle" : "", "family" : "G\u00fcrb\u00fcz", "given" : "G\u00fclruh", "non-dropping-particle" : "", "parse-names" : false, "suffix" : "" }, { "dropping-particle" : "", "family" : "Aykol", "given" : "Sinem", "non-dropping-particle" : "", "parse-names" : false, "suffix" : "" } ], "container-title" : "Management Research News", "id" : "ITEM-6", "issue" : "4", "issued" : { "date-parts" : [ [ "2009" ] ] }, "page" : "321-336", "title" : "Entrepreneurial management, entrepreneurial orientation and Turkish small firm growth", "type" : "article-journal", "volume" : "32" }, "uris" : [ "http://www.mendeley.com/documents/?uuid=fcaeb161-29ab-4403-b9b5-bfd52a526e38" ] } ], "mendeley" : { "formattedCitation" : "(J. G. Covin &amp; Slevin, 1991; J. Covin &amp; Slevin, 1988; G\u00fcrb\u00fcz &amp; Aykol, 2009; Kreiser et al., 2002; Miller, 1983; Johan Wiklund &amp; Shepherd, 2005)", "manualFormatting" : "( Covin &amp; Slevin, 1991; Covin &amp; Slevin, 1988; G\u00fcrb\u00fcz &amp; Aykol, 2009; Kreiser et al., 2002; Miller, 1983; Johan Wiklund &amp; Shepherd, 2005)", "plainTextFormattedCitation" : "(J. G. Covin &amp; Slevin, 1991; J. Covin &amp; Slevin, 1988; G\u00fcrb\u00fcz &amp; Aykol, 2009; Kreiser et al., 2002; Miller, 1983; Johan Wiklund &amp; Shepherd, 2005)", "previouslyFormattedCitation" : "(J. G. Covin &amp; Slevin, 1991; J. Covin &amp; Slevin, 1988; G\u00fcrb\u00fcz &amp; Aykol, 2009; Kreiser et al., 2002; Miller, 1983; Johan Wiklund &amp; Shepherd, 2005)"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 Covin &amp; Slevin, 1991; Covin &amp; Slevin, 1988; Gürbüz &amp; Aykol, 2009; Kreiser et al., 2002; Miller, 1983; Johan Wiklund &amp; Shepherd, 2005)</w:t>
      </w:r>
      <w:r w:rsidRPr="005C7FE5">
        <w:rPr>
          <w:rFonts w:ascii="Times New Roman" w:hAnsi="Times New Roman" w:cs="Times New Roman"/>
        </w:rPr>
        <w:fldChar w:fldCharType="end"/>
      </w:r>
      <w:r w:rsidRPr="005C7FE5">
        <w:rPr>
          <w:rFonts w:ascii="Times New Roman" w:hAnsi="Times New Roman" w:cs="Times New Roman"/>
        </w:rPr>
        <w:t xml:space="preserve">. In addition, researchers like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"Lumpkin", "given" : "G T", "non-dropping-particle" : "", "parse-names" : false, "suffix" : "" }, { "dropping-particle" : "", "family" : "Dess", "given" : "G G", "non-dropping-particle" : "", "parse-names" : false, "suffix" : "" } ], "container-title" : "Academy of Management Review", "id" : "ITEM-1", "issued" : { "date-parts" : [ [ "1996" ] ] }, "page" : "135-172", "title" : "Clarifying the entrepreneurial orientation construct and linking it to performance", "type" : "article-journal", "volume" : "21" }, "uris" : [ "http://www.mendeley.com/documents/?uuid=b66cf2ab-ab18-4203-a5f1-7996048c30e3" ] }, { "id" : "ITEM-2", "itemData" : { "author" : [ { "dropping-particle" : "", "family" : "Zulkifli", "given" : "Rm", "non-dropping-particle" : "", "parse-names" : false, "suffix" : "" }, { "dropping-particle" : "", "family" : "Rosli", "given" : "Mm", "non-dropping-particle" : "", "parse-names" : false, "suffix" : "" } ], "container-title" : "International Journal of Humanities and Social Science", "id" : "ITEM-2", "issue" : "10", "issued" : { "date-parts" : [ [ "2013" ] ] }, "page" : "264-275", "title" : "Entrepreneurial Orientation and Business Success of Malay Entrepreneurs: Religiosity as Moderator", "type" : "article-journal", "volume" : "3" }, "uris" : [ "http://www.mendeley.com/documents/?uuid=94ce923c-405f-490c-8a35-e27c50eeaf34" ] } ], "mendeley" : { "formattedCitation" : "(Lumpkin &amp; Dess, 1996; Zulkifli &amp; Rosli, 2013)", "manualFormatting" : "Lumpkin and Dess, 1996; Zulkifli and Rosli, 2013", "plainTextFormattedCitation" : "(Lumpkin &amp; Dess, 1996; Zulkifli &amp; Rosli, 2013)", "previouslyFormattedCitation" : "(Lumpkin &amp; Dess, 1996; Zulkifli &amp; Rosli, 2013)"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Lumpkin and Dess, 1996; Zulkifli and Rosli, 2013</w:t>
      </w:r>
      <w:r w:rsidRPr="005C7FE5">
        <w:rPr>
          <w:rFonts w:ascii="Times New Roman" w:hAnsi="Times New Roman" w:cs="Times New Roman"/>
        </w:rPr>
        <w:fldChar w:fldCharType="end"/>
      </w:r>
      <w:r w:rsidRPr="005C7FE5">
        <w:rPr>
          <w:rFonts w:ascii="Times New Roman" w:hAnsi="Times New Roman" w:cs="Times New Roman"/>
        </w:rPr>
        <w:t>, studied the  concept of an entrepreneurial orientation with five dimensions. According to those authors, an EO consists of processes, structures, and/or behaviors that can be described as aggressive, innovative, proactive, risk-taking, or autonomy seeking.</w:t>
      </w:r>
    </w:p>
    <w:p w14:paraId="51C76B4C"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6A6C24EA" w14:textId="3C91443C"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To considering EO as a </w:t>
      </w:r>
      <w:proofErr w:type="spellStart"/>
      <w:r w:rsidRPr="005C7FE5">
        <w:rPr>
          <w:rFonts w:ascii="Times New Roman" w:hAnsi="Times New Roman" w:cs="Times New Roman"/>
        </w:rPr>
        <w:t>uni</w:t>
      </w:r>
      <w:proofErr w:type="spellEnd"/>
      <w:r w:rsidRPr="005C7FE5">
        <w:rPr>
          <w:rFonts w:ascii="Times New Roman" w:hAnsi="Times New Roman" w:cs="Times New Roman"/>
        </w:rPr>
        <w:t>-dimensional or multidimensional is an</w:t>
      </w:r>
      <w:r w:rsidR="00AA503F">
        <w:rPr>
          <w:rFonts w:ascii="Times New Roman" w:hAnsi="Times New Roman" w:cs="Times New Roman"/>
        </w:rPr>
        <w:t>o</w:t>
      </w:r>
      <w:r w:rsidRPr="005C7FE5">
        <w:rPr>
          <w:rFonts w:ascii="Times New Roman" w:hAnsi="Times New Roman" w:cs="Times New Roman"/>
        </w:rPr>
        <w:t xml:space="preserve">ther debated issue in previous literature. Several authors believe that a firm may be considered entrepreneurial only when it exploits these three dimensions to large extent (Miller, 1983). Others believe that EO is a multidimensional strategic orientation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"Kreiser", "given" : "Patrick M", "non-dropping-particle" : "", "parse-names" : false, "suffix" : "" }, { "dropping-particle" : "", "family" : "Marino", "given" : "Louis D", "non-dropping-particle" : "", "parse-names" : false, "suffix" : "" }, { "dropping-particle" : "", "family" : "Weaver", "given" : "K Mark", "non-dropping-particle" : "", "parse-names" : false, "suffix" : "" } ], "container-title" : "Entrepreneurship: Theory &amp; Practice", "id" : "ITEM-1", "issue" : "4", "issued" : { "date-parts" : [ [ "2002" ] ] }, "page" : "71", "title" : "Assessing the Psychometric Properties of the Entrepreneurial Orientation Scale: A Multi-Country Analysis.", "type" : "article-journal", "volume" : "26" }, "uris" : [ "http://www.mendeley.com/documents/?uuid=9dfdb34d-85cd-4609-8f03-cd91077a4345" ] }, { "id" : "ITEM-2", "itemData" : { "author" : [ { "dropping-particle" : "", "family" : "Covin", "given" : "Jeffrey G", "non-dropping-particle" : "", "parse-names" : false, "suffix" : "" }, { "dropping-particle" : "", "family" : "Slevin", "given" : "Dennis P", "non-dropping-particle" : "", "parse-names" : false, "suffix" : "" } ], "container-title" : "Strategic management journal", "id" : "ITEM-2", "issue" : "March 1987", "issued" : { "date-parts" : [ [ "1989" ] ] }, "page" : "75-87", "title" : "Strategic Management of Small Firms in Hostile and Benign Environments", "type" : "article-journal", "volume" : "10" }, "uris" : [ "http://www.mendeley.com/documents/?uuid=683fc35f-21f5-4fbd-b751-e42ca5ea3fdd" ] }, { "id" : "ITEM-3", "itemData" : { "author" : [ { "dropping-particle" : "", "family" : "Covin", "given" : "Jeffrey G", "non-dropping-particle" : "", "parse-names" : false, "suffix" : "" }, { "dropping-particle" : "", "family" : "Slevin", "given" : "DP", "non-dropping-particle" : "", "parse-names" : false, "suffix" : "" } ], "container-title" : "Entrepreneurship theory and practice", "id" : "ITEM-3", "issue" : "1", "issued" : { "date-parts" : [ [ "1991" ] ] }, "page" : "7-25", "title" : "A conceptual model of entrepreneurship as firm behavior", "type" : "article-journal", "volume" : "16" }, "uris" : [ "http://www.mendeley.com/documents/?uuid=8876e6e0-2320-4aa7-a2fd-c08f953bb1de" ] }, { "id" : "ITEM-4", "itemData" : { "author" : [ { "dropping-particle" : "", "family" : "Zulkifli", "given" : "Rm", "non-dropping-particle" : "", "parse-names" : false, "suffix" : "" }, { "dropping-particle" : "", "family" : "Rosli", "given" : "Mm", "non-dropping-particle" : "", "parse-names" : false, "suffix" : "" } ], "container-title" : "International Journal of Humanities and Social Science", "id" : "ITEM-4", "issue" : "10", "issued" : { "date-parts" : [ [ "2013" ] ] }, "page" : "264-275", "title" : "Entrepreneurial Orientation and Business Success of Malay Entrepreneurs: Religiosity as Moderator", "type" : "article-journal", "volume" : "3" }, "uris" : [ "http://www.mendeley.com/documents/?uuid=94ce923c-405f-490c-8a35-e27c50eeaf34" ] }, { "id" : "ITEM-5", "itemData" : { "author" : [ { "dropping-particle" : "", "family" : "G\u00fcrb\u00fcz", "given" : "G\u00fclruh", "non-dropping-particle" : "", "parse-names" : false, "suffix" : "" }, { "dropping-particle" : "", "family" : "Aykol", "given" : "Sinem", "non-dropping-particle" : "", "parse-names" : false, "suffix" : "" } ], "container-title" : "Management Research News", "id" : "ITEM-5", "issue" : "4", "issued" : { "date-parts" : [ [ "2009" ] ] }, "page" : "321-336", "title" : "Entrepreneurial management, entrepreneurial orientation and Turkish small firm growth", "type" : "article-journal", "volume" : "32" }, "uris" : [ "http://www.mendeley.com/documents/?uuid=fcaeb161-29ab-4403-b9b5-bfd52a526e38" ] }, { "id" : "ITEM-6", "itemData" : { "author" : [ { "dropping-particle" : "", "family" : "Lumpkin", "given" : "G T", "non-dropping-particle" : "", "parse-names" : false, "suffix" : "" }, { "dropping-particle" : "", "family" : "Dess", "given" : "G G", "non-dropping-particle" : "", "parse-names" : false, "suffix" : "" } ], "container-title" : "Academy of Management Review", "id" : "ITEM-6", "issued" : { "date-parts" : [ [ "1996" ] ] }, "page" : "135-172", "title" : "Clarifying the entrepreneurial orientation construct and linking it to performance", "type" : "article-journal", "volume" : "21" }, "uris" : [ "http://www.mendeley.com/documents/?uuid=b66cf2ab-ab18-4203-a5f1-7996048c30e3" ] } ], "mendeley" : { "formattedCitation" : "(J. G. Covin &amp; Slevin, 1991, 1989; G\u00fcrb\u00fcz &amp; Aykol, 2009; Kreiser et al., 2002; Lumpkin &amp; Dess, 1996; Zulkifli &amp; Rosli, 2013)", "manualFormatting" : "( Covin &amp; Slevin, 1991, 1989; G\u00fcrb\u00fcz &amp; Aykol, 2009; Kreiser et al., 2002; Lumpkin &amp; Dess, 1996; Zulkifli &amp; Rosli, 2013)", "plainTextFormattedCitation" : "(J. G. Covin &amp; Slevin, 1991, 1989; G\u00fcrb\u00fcz &amp; Aykol, 2009; Kreiser et al., 2002; Lumpkin &amp; Dess, 1996; Zulkifli &amp; Rosli, 2013)", "previouslyFormattedCitation" : "(J. G. Covin &amp; Slevin, 1991, 1989; G\u00fcrb\u00fcz &amp; Aykol, 2009; Kreiser et al., 2002; Lumpkin &amp; Dess, 1996; Zulkifli &amp; Rosli, 2013)"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 Covin &amp; Slevin, 1991, 1989; Gürbüz &amp; Aykol, 2009; Kreiser et al., 2002; Lumpkin &amp; Dess, 1996; Zulkifli &amp; Rosli, 2013)</w:t>
      </w:r>
      <w:r w:rsidRPr="005C7FE5">
        <w:rPr>
          <w:rFonts w:ascii="Times New Roman" w:hAnsi="Times New Roman" w:cs="Times New Roman"/>
        </w:rPr>
        <w:fldChar w:fldCharType="end"/>
      </w:r>
      <w:r w:rsidRPr="005C7FE5">
        <w:rPr>
          <w:rFonts w:ascii="Times New Roman" w:hAnsi="Times New Roman" w:cs="Times New Roman"/>
        </w:rPr>
        <w:t xml:space="preserve">. The researchers argue that each dimension of entrepreneurship may have a different relation with performance variables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"Lumpkin", "given" : "G T", "non-dropping-particle" : "", "parse-names" : false, "suffix" : "" }, { "dropping-particle" : "", "family" : "Dess", "given" : "G G", "non-dropping-particle" : "", "parse-names" : false, "suffix" : "" } ], "container-title" : "Academy of Management Review", "id" : "ITEM-1", "issued" : { "date-parts" : [ [ "1996" ] ] }, "page" : "135-172", "title" : "Clarifying the entrepreneurial orientation construct and linking it to performance", "type" : "article-journal", "volume" : "21" }, "uris" : [ "http://www.mendeley.com/documents/?uuid=b66cf2ab-ab18-4203-a5f1-7996048c30e3" ] }, { "id" : "ITEM-2", "itemData" : { "author" : [ { "dropping-particle" : "", "family" : "Kreiser", "given" : "Patrick M", "non-dropping-particle" : "", "parse-names" : false, "suffix" : "" }, { "dropping-particle" : "", "family" : "Marino", "given" : "Louis D", "non-dropping-particle" : "", "parse-names" : false, "suffix" : "" }, { "dropping-particle" : "", "family" : "Weaver", "given" : "K Mark", "non-dropping-particle" : "", "parse-names" : false, "suffix" : "" } ], "container-title" : "Entrepreneurship: Theory &amp; Practice", "id" : "ITEM-2", "issue" : "4", "issued" : { "date-parts" : [ [ "2002" ] ] }, "page" : "71", "title" : "Assessing the Psychometric Properties of the Entrepreneurial Orientation Scale: A Multi-Country Analysis.", "type" : "article-journal", "volume" : "26" }, "uris" : [ "http://www.mendeley.com/documents/?uuid=9dfdb34d-85cd-4609-8f03-cd91077a4345" ] } ], "mendeley" : { "formattedCitation" : "(Kreiser et al., 2002; Lumpkin &amp; Dess, 1996)", "plainTextFormattedCitation" : "(Kreiser et al., 2002; Lumpkin &amp; Dess, 1996)", "previouslyFormattedCitation" : "(Kreiser et al., 2002; Lumpkin &amp; Dess, 1996)"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(Kreiser et al., 2002; Lumpkin &amp; Dess, 1996)</w:t>
      </w:r>
      <w:r w:rsidRPr="005C7FE5">
        <w:rPr>
          <w:rFonts w:ascii="Times New Roman" w:hAnsi="Times New Roman" w:cs="Times New Roman"/>
        </w:rPr>
        <w:fldChar w:fldCharType="end"/>
      </w:r>
      <w:r w:rsidRPr="005C7FE5">
        <w:rPr>
          <w:rFonts w:ascii="Times New Roman" w:hAnsi="Times New Roman" w:cs="Times New Roman"/>
        </w:rPr>
        <w:t>. This study will focus on EO as multi-dimensional.</w:t>
      </w:r>
    </w:p>
    <w:p w14:paraId="51D10AD6" w14:textId="77777777" w:rsidR="001D4CAB" w:rsidRPr="00F0155A" w:rsidRDefault="001D4CAB" w:rsidP="001D4CAB">
      <w:pPr>
        <w:autoSpaceDE w:val="0"/>
        <w:autoSpaceDN w:val="0"/>
        <w:adjustRightInd w:val="0"/>
        <w:spacing w:after="0" w:line="240" w:lineRule="auto"/>
        <w:rPr>
          <w:rFonts w:ascii="Times New Roman" w:hAnsi="Times New Roman" w:cs="Times New Roman"/>
        </w:rPr>
      </w:pPr>
    </w:p>
    <w:p w14:paraId="5B9987CF" w14:textId="77777777" w:rsidR="001D4CAB" w:rsidRPr="00F0155A" w:rsidRDefault="001D4CAB" w:rsidP="001D4CAB">
      <w:pPr>
        <w:autoSpaceDE w:val="0"/>
        <w:autoSpaceDN w:val="0"/>
        <w:adjustRightInd w:val="0"/>
        <w:spacing w:after="0" w:line="240" w:lineRule="auto"/>
        <w:rPr>
          <w:rFonts w:ascii="Times New Roman" w:hAnsi="Times New Roman" w:cs="Times New Roman"/>
          <w:sz w:val="8"/>
          <w:szCs w:val="8"/>
        </w:rPr>
      </w:pPr>
    </w:p>
    <w:p w14:paraId="2BFC08C3" w14:textId="77777777" w:rsidR="001D4CAB" w:rsidRPr="00F0155A" w:rsidRDefault="001D4CAB" w:rsidP="001D4CAB">
      <w:pPr>
        <w:pStyle w:val="Heading2"/>
      </w:pPr>
      <w:r w:rsidRPr="00F0155A">
        <w:t xml:space="preserve"> Financing support</w:t>
      </w:r>
    </w:p>
    <w:p w14:paraId="7EE8DE47" w14:textId="77777777" w:rsidR="001D4CAB" w:rsidRPr="00F0155A" w:rsidRDefault="001D4CAB" w:rsidP="001D4CAB">
      <w:pPr>
        <w:autoSpaceDE w:val="0"/>
        <w:autoSpaceDN w:val="0"/>
        <w:adjustRightInd w:val="0"/>
        <w:spacing w:line="240" w:lineRule="auto"/>
        <w:rPr>
          <w:rFonts w:ascii="Times New Roman" w:hAnsi="Times New Roman" w:cs="Times New Roman"/>
          <w:color w:val="000000" w:themeColor="text1"/>
        </w:rPr>
      </w:pPr>
      <w:r w:rsidRPr="00F0155A">
        <w:rPr>
          <w:rFonts w:ascii="Times New Roman" w:hAnsi="Times New Roman" w:cs="Times New Roman"/>
          <w:color w:val="000000" w:themeColor="text1"/>
        </w:rPr>
        <w:t xml:space="preserve">Researchers and policy-makers acknowledge that SMEs are the primary source of vitality in the economy. They are also found to be extremely vulnerable to the vagaries and turbulences of the external environment. It is, therefore, recognized by policy-makers in most countries that SMEs need special help for their survival and growth. Traditionally such support was offered to facilitate the external environment. Such facilitation will be effective only if the SMEs have the internal capabilities for taking advantage of the external facilitation </w:t>
      </w:r>
      <w:r w:rsidRPr="00F0155A">
        <w:rPr>
          <w:rFonts w:ascii="Times New Roman" w:hAnsi="Times New Roman" w:cs="Times New Roman"/>
          <w:color w:val="000000" w:themeColor="text1"/>
        </w:rPr>
        <w:fldChar w:fldCharType="begin" w:fldLock="1"/>
      </w:r>
      <w:r w:rsidRPr="00F0155A">
        <w:rPr>
          <w:rFonts w:ascii="Times New Roman" w:hAnsi="Times New Roman" w:cs="Times New Roman"/>
          <w:color w:val="000000" w:themeColor="text1"/>
        </w:rPr>
        <w:instrText>ADDIN CSL_CITATION { "citationItems" : [ { "id" : "ITEM-1", "itemData" : { "author" : [ { "dropping-particle" : "", "family" : "Manimala", "given" : "M. J.", "non-dropping-particle" : "", "parse-names" : false, "suffix" : "" }, { "dropping-particle" : "", "family" : "Kumar", "given" : "S.", "non-dropping-particle" : "", "parse-names" : false, "suffix" : "" } ], "container-title" : "IIM Kozhikode Society &amp; Management Review", "id" : "ITEM-1", "issue" : "2", "issued" : { "date-parts" : [ [ "2012", "7", "1" ] ] }, "page" : "97-110", "title" : "Training Needs of Small and Medium Enterprises: Findings from an Empirical Investigation", "type" : "article-journal", "volume" : "1" }, "uris" : [ "http://www.mendeley.com/documents/?uuid=365b43ea-a775-4737-ad3b-8d1b24e20247" ] } ], "mendeley" : { "formattedCitation" : "(Manimala &amp; Kumar, 2012)", "plainTextFormattedCitation" : "(Manimala &amp; Kumar, 2012)", "previouslyFormattedCitation" : "(Manimala &amp; Kumar, 2012)" }, "properties" : { "noteIndex" : 0 }, "schema" : "https://github.com/citation-style-language/schema/raw/master/csl-citation.json" }</w:instrText>
      </w:r>
      <w:r w:rsidRPr="00F0155A">
        <w:rPr>
          <w:rFonts w:ascii="Times New Roman" w:hAnsi="Times New Roman" w:cs="Times New Roman"/>
          <w:color w:val="000000" w:themeColor="text1"/>
        </w:rPr>
        <w:fldChar w:fldCharType="separate"/>
      </w:r>
      <w:r w:rsidRPr="00F0155A">
        <w:rPr>
          <w:rFonts w:ascii="Times New Roman" w:hAnsi="Times New Roman" w:cs="Times New Roman"/>
          <w:noProof/>
          <w:color w:val="000000" w:themeColor="text1"/>
        </w:rPr>
        <w:t>(Manimala &amp; Kumar, 2012)</w:t>
      </w:r>
      <w:r w:rsidRPr="00F0155A">
        <w:rPr>
          <w:rFonts w:ascii="Times New Roman" w:hAnsi="Times New Roman" w:cs="Times New Roman"/>
          <w:color w:val="000000" w:themeColor="text1"/>
        </w:rPr>
        <w:fldChar w:fldCharType="end"/>
      </w:r>
      <w:r w:rsidRPr="00F0155A">
        <w:rPr>
          <w:rFonts w:ascii="Times New Roman" w:hAnsi="Times New Roman" w:cs="Times New Roman"/>
          <w:color w:val="000000" w:themeColor="text1"/>
        </w:rPr>
        <w:t>.</w:t>
      </w:r>
    </w:p>
    <w:p w14:paraId="46A447E6" w14:textId="77777777" w:rsidR="001D4CAB" w:rsidRDefault="001D4CAB" w:rsidP="001D4CAB">
      <w:pPr>
        <w:autoSpaceDE w:val="0"/>
        <w:autoSpaceDN w:val="0"/>
        <w:adjustRightInd w:val="0"/>
        <w:spacing w:line="240" w:lineRule="auto"/>
      </w:pPr>
      <w:r w:rsidRPr="00F0155A">
        <w:rPr>
          <w:rFonts w:ascii="Times New Roman" w:hAnsi="Times New Roman" w:cs="Times New Roman"/>
          <w:color w:val="000000" w:themeColor="text1"/>
          <w:lang w:bidi="ar-IQ"/>
        </w:rPr>
        <w:t>To sustain the development of business, both entrepreneurs and government agencies are the primary stakeholders to intervene and contribute support in all capital investment efforts and regulation reinforcements</w:t>
      </w:r>
      <w:r w:rsidRPr="00F0155A">
        <w:rPr>
          <w:rFonts w:ascii="Times New Roman" w:hAnsi="Times New Roman" w:cs="Times New Roman"/>
        </w:rPr>
        <w:t xml:space="preserve"> </w:t>
      </w:r>
      <w:r w:rsidRPr="00F0155A">
        <w:rPr>
          <w:rFonts w:ascii="Times New Roman" w:hAnsi="Times New Roman" w:cs="Times New Roman"/>
        </w:rPr>
        <w:fldChar w:fldCharType="begin" w:fldLock="1"/>
      </w:r>
      <w:r w:rsidRPr="00F0155A">
        <w:rPr>
          <w:rFonts w:ascii="Times New Roman" w:hAnsi="Times New Roman" w:cs="Times New Roman"/>
        </w:rPr>
        <w:instrText>ADDIN CSL_CITATION { "citationItems" : [ { "id" : "ITEM-1", "itemData" : { "author" : [ { "dropping-particle" : "", "family" : "Southiseng", "given" : "Nittana", "non-dropping-particle" : "", "parse-names" : false, "suffix" : "" }, { "dropping-particle" : "", "family" : "Walsh", "given" : "John", "non-dropping-particle" : "", "parse-names" : false, "suffix" : "" } ], "container-title" : "asian journal of business management", "id" : "ITEM-1", "issue" : "3", "issued" : { "date-parts" : [ [ "2010" ] ] }, "page" : "57-72", "title" : "Competition and Management Issues of SME Entrepreneurs in Laos : Evidence from Empirical Studies in Vientiane Municipality , Savannakhet and Luang Prabang", "type" : "article-journal", "volume" : "2" }, "uris" : [ "http://www.mendeley.com/documents/?uuid=2a61fa69-271e-4393-a4f5-3d1131687c19" ] } ], "mendeley" : { "formattedCitation" : "(Southiseng &amp; Walsh, 2010)", "plainTextFormattedCitation" : "(Southiseng &amp; Walsh, 2010)", "previouslyFormattedCitation" : "(Southiseng &amp; Walsh, 2010)" }, "properties" : { "noteIndex" : 0 }, "schema" : "https://github.com/citation-style-language/schema/raw/master/csl-citation.json" }</w:instrText>
      </w:r>
      <w:r w:rsidRPr="00F0155A">
        <w:rPr>
          <w:rFonts w:ascii="Times New Roman" w:hAnsi="Times New Roman" w:cs="Times New Roman"/>
        </w:rPr>
        <w:fldChar w:fldCharType="separate"/>
      </w:r>
      <w:r w:rsidRPr="00F0155A">
        <w:rPr>
          <w:rFonts w:ascii="Times New Roman" w:hAnsi="Times New Roman" w:cs="Times New Roman"/>
          <w:noProof/>
        </w:rPr>
        <w:t>(Southiseng &amp; Walsh, 2010)</w:t>
      </w:r>
      <w:r w:rsidRPr="00F0155A">
        <w:rPr>
          <w:rFonts w:ascii="Times New Roman" w:hAnsi="Times New Roman" w:cs="Times New Roman"/>
        </w:rPr>
        <w:fldChar w:fldCharType="end"/>
      </w:r>
      <w:r w:rsidRPr="00F0155A">
        <w:rPr>
          <w:rFonts w:ascii="Times New Roman" w:hAnsi="Times New Roman" w:cs="Times New Roman"/>
          <w:color w:val="FF0000"/>
        </w:rPr>
        <w:t xml:space="preserve">. </w:t>
      </w:r>
      <w:r w:rsidRPr="00F0155A">
        <w:rPr>
          <w:rFonts w:ascii="Times New Roman" w:hAnsi="Times New Roman" w:cs="Times New Roman"/>
          <w:color w:val="000000" w:themeColor="text1"/>
          <w:lang w:bidi="ar-IQ"/>
        </w:rPr>
        <w:t xml:space="preserve">SME supports cover a vast spectrum starting from the designing and extending to financing, training, and marketing and consultancy services. Such support programs may be summarized under six headings as of technology/research &amp; development, training, financing, machinery/equipment, marketing and consultancy supports </w:t>
      </w:r>
      <w:r w:rsidRPr="00F0155A">
        <w:rPr>
          <w:rFonts w:ascii="Times New Roman" w:hAnsi="Times New Roman" w:cs="Times New Roman"/>
          <w:color w:val="000000" w:themeColor="text1"/>
          <w:lang w:bidi="ar-IQ"/>
        </w:rPr>
        <w:fldChar w:fldCharType="begin" w:fldLock="1"/>
      </w:r>
      <w:r w:rsidRPr="00F0155A">
        <w:rPr>
          <w:rFonts w:ascii="Times New Roman" w:hAnsi="Times New Roman" w:cs="Times New Roman"/>
          <w:color w:val="000000" w:themeColor="text1"/>
          <w:lang w:bidi="ar-IQ"/>
        </w:rPr>
        <w:instrText>ADDIN CSL_CITATION { "citationItems" : [ { "id" : "ITEM-1", "itemData" : { "author" : [ { "dropping-particle" : "", "family" : "Aykan", "given" : "Ebru", "non-dropping-particle" : "", "parse-names" : false, "suffix" : "" }, { "dropping-particle" : "", "family" : "Aksoylu", "given" : "Semra", "non-dropping-particle" : "", "parse-names" : false, "suffix" : "" }, { "dropping-particle" : "", "family" : "S\u00f6nmez", "given" : "Ebru", "non-dropping-particle" : "", "parse-names" : false, "suffix" : "" } ], "container-title" : "Procedia - Social and Behavioral Sciences", "id" : "ITEM-1", "issued" : { "date-parts" : [ [ "2013", "11" ] ] }, "page" : "938-946", "title" : "Effects of Support Programs on Corporate Strategies of Small and Medium-sized Enterprises", "type" : "article-journal", "volume" : "99" }, "uris" : [ "http://www.mendeley.com/documents/?uuid=14faf929-76b5-4d08-b273-85b8d018d98c" ] } ], "mendeley" : { "formattedCitation" : "(Aykan, Aksoylu, &amp; S\u00f6nmez, 2013)", "plainTextFormattedCitation" : "(Aykan, Aksoylu, &amp; S\u00f6nmez, 2013)", "previouslyFormattedCitation" : "(Aykan, Aksoylu, &amp; S\u00f6nmez, 2013)" }, "properties" : { "noteIndex" : 0 }, "schema" : "https://github.com/citation-style-language/schema/raw/master/csl-citation.json" }</w:instrText>
      </w:r>
      <w:r w:rsidRPr="00F0155A">
        <w:rPr>
          <w:rFonts w:ascii="Times New Roman" w:hAnsi="Times New Roman" w:cs="Times New Roman"/>
          <w:color w:val="000000" w:themeColor="text1"/>
          <w:lang w:bidi="ar-IQ"/>
        </w:rPr>
        <w:fldChar w:fldCharType="separate"/>
      </w:r>
      <w:r w:rsidRPr="00F0155A">
        <w:rPr>
          <w:rFonts w:ascii="Times New Roman" w:hAnsi="Times New Roman" w:cs="Times New Roman"/>
          <w:noProof/>
          <w:color w:val="000000" w:themeColor="text1"/>
          <w:lang w:bidi="ar-IQ"/>
        </w:rPr>
        <w:t>(Aykan, Aksoylu, &amp; Sönmez, 2013)</w:t>
      </w:r>
      <w:r w:rsidRPr="00F0155A">
        <w:rPr>
          <w:rFonts w:ascii="Times New Roman" w:hAnsi="Times New Roman" w:cs="Times New Roman"/>
          <w:color w:val="000000" w:themeColor="text1"/>
          <w:lang w:bidi="ar-IQ"/>
        </w:rPr>
        <w:fldChar w:fldCharType="end"/>
      </w:r>
      <w:r w:rsidRPr="00F0155A">
        <w:rPr>
          <w:rFonts w:ascii="Times New Roman" w:hAnsi="Times New Roman" w:cs="Times New Roman"/>
          <w:color w:val="000000" w:themeColor="text1"/>
          <w:lang w:bidi="ar-IQ"/>
        </w:rPr>
        <w:t>.</w:t>
      </w:r>
      <w:r w:rsidRPr="00F0155A">
        <w:rPr>
          <w:rFonts w:ascii="Times New Roman" w:hAnsi="Times New Roman" w:cs="Times New Roman"/>
          <w:color w:val="FF0000"/>
          <w:lang w:bidi="ar-IQ"/>
        </w:rPr>
        <w:t xml:space="preserve"> </w:t>
      </w:r>
      <w:proofErr w:type="spellStart"/>
      <w:r w:rsidRPr="00D52D95">
        <w:t>Sentsho</w:t>
      </w:r>
      <w:proofErr w:type="spellEnd"/>
      <w:r w:rsidRPr="00D52D95">
        <w:t xml:space="preserve">, </w:t>
      </w:r>
      <w:proofErr w:type="spellStart"/>
      <w:r w:rsidRPr="00D52D95">
        <w:t>Maiketso</w:t>
      </w:r>
      <w:proofErr w:type="spellEnd"/>
      <w:r w:rsidRPr="00D52D95">
        <w:t xml:space="preserve">, </w:t>
      </w:r>
      <w:proofErr w:type="spellStart"/>
      <w:r w:rsidRPr="00D52D95">
        <w:t>Sengwakets</w:t>
      </w:r>
      <w:proofErr w:type="spellEnd"/>
      <w:r w:rsidRPr="00D52D95">
        <w:t xml:space="preserve">, Anderson, &amp; </w:t>
      </w:r>
      <w:proofErr w:type="spellStart"/>
      <w:r w:rsidRPr="00D52D95">
        <w:t>Kayawe</w:t>
      </w:r>
      <w:proofErr w:type="spellEnd"/>
      <w:r w:rsidRPr="00D52D95">
        <w:t xml:space="preserve"> (2007), pointed out that tax rate is generally viewed </w:t>
      </w:r>
      <w:r w:rsidRPr="00D52D95">
        <w:lastRenderedPageBreak/>
        <w:t>as prohibitive to SMEs competitiveness. This requires special SMEs rates for minimizing the taxation impact on SMEs, as is the case with many developed countries. Some legislations, too, are not encouraging for SMEs because administrative procedures and their costs do not differentiate between SMEs and large businesses.</w:t>
      </w:r>
    </w:p>
    <w:p w14:paraId="27671102" w14:textId="0BDA5D04" w:rsidR="001D4CAB" w:rsidRPr="00F0155A" w:rsidRDefault="001D4CAB" w:rsidP="00AA503F">
      <w:pPr>
        <w:autoSpaceDE w:val="0"/>
        <w:autoSpaceDN w:val="0"/>
        <w:adjustRightInd w:val="0"/>
        <w:spacing w:after="0" w:line="240" w:lineRule="auto"/>
        <w:rPr>
          <w:rFonts w:ascii="Times New Roman" w:hAnsi="Times New Roman" w:cs="Times New Roman"/>
          <w:color w:val="FF0000"/>
          <w:lang w:bidi="ar-IQ"/>
        </w:rPr>
      </w:pPr>
      <w:r w:rsidRPr="00D52D95">
        <w:rPr>
          <w:color w:val="000000"/>
          <w:sz w:val="23"/>
          <w:szCs w:val="23"/>
        </w:rPr>
        <w:t>Support programs that are directed towards providing and maintaining a sustainable growth for SMEs had been discussed extensively in previous studies. Among the programs that are offered under assistance programs are financial and credit ,technical and training ,extension and advisory services, infrastructure support, in addition t</w:t>
      </w:r>
      <w:r>
        <w:rPr>
          <w:color w:val="000000"/>
          <w:sz w:val="23"/>
          <w:szCs w:val="23"/>
        </w:rPr>
        <w:t>o marketing and market research</w:t>
      </w:r>
      <w:r w:rsidRPr="00F0155A">
        <w:rPr>
          <w:rFonts w:ascii="Times New Roman" w:hAnsi="Times New Roman" w:cs="Times New Roman"/>
        </w:rPr>
        <w:t xml:space="preserve"> </w:t>
      </w:r>
      <w:r w:rsidRPr="00F0155A">
        <w:rPr>
          <w:rFonts w:ascii="Times New Roman" w:hAnsi="Times New Roman" w:cs="Times New Roman"/>
          <w:color w:val="000000" w:themeColor="text1"/>
        </w:rPr>
        <w:fldChar w:fldCharType="begin" w:fldLock="1"/>
      </w:r>
      <w:r w:rsidRPr="00F0155A">
        <w:rPr>
          <w:rFonts w:ascii="Times New Roman" w:hAnsi="Times New Roman" w:cs="Times New Roman"/>
          <w:color w:val="000000" w:themeColor="text1"/>
        </w:rPr>
        <w:instrText>ADDIN CSL_CITATION { "citationItems" : [ { "id" : "ITEM-1", "itemData" : { "author" : [ { "dropping-particle" : "", "family" : "Gisip", "given" : "IA", "non-dropping-particle" : "", "parse-names" : false, "suffix" : "" }, { "dropping-particle" : "", "family" : "Harun", "given" : "HAH", "non-dropping-particle" : "", "parse-names" : false, "suffix" : "" } ], "container-title" : "Scottish Journal of Arts, Social Sciences and Scientific Studies", "id" : "ITEM-1", "issue" : "2", "issued" : { "date-parts" : [ [ "2013" ] ] }, "page" : "9-18", "title" : "An Assessment of Government Support Programs in the Development of SMEs in Malaysia: Issues and Challenges", "type" : "article-journal", "volume" : "8" }, "uris" : [ "http://www.mendeley.com/documents/?uuid=32ee0bd9-7a18-4004-95b6-489bbe95fe77" ] } ], "mendeley" : { "formattedCitation" : "(Gisip &amp; Harun, 2013)", "plainTextFormattedCitation" : "(Gisip &amp; Harun, 2013)", "previouslyFormattedCitation" : "(Gisip &amp; Harun, 2013)" }, "properties" : { "noteIndex" : 0 }, "schema" : "https://github.com/citation-style-language/schema/raw/master/csl-citation.json" }</w:instrText>
      </w:r>
      <w:r w:rsidRPr="00F0155A">
        <w:rPr>
          <w:rFonts w:ascii="Times New Roman" w:hAnsi="Times New Roman" w:cs="Times New Roman"/>
          <w:color w:val="000000" w:themeColor="text1"/>
        </w:rPr>
        <w:fldChar w:fldCharType="separate"/>
      </w:r>
      <w:r w:rsidRPr="00F0155A">
        <w:rPr>
          <w:rFonts w:ascii="Times New Roman" w:hAnsi="Times New Roman" w:cs="Times New Roman"/>
          <w:noProof/>
          <w:color w:val="000000" w:themeColor="text1"/>
        </w:rPr>
        <w:t>(Gisip &amp; Harun, 2013)</w:t>
      </w:r>
      <w:r w:rsidRPr="00F0155A">
        <w:rPr>
          <w:rFonts w:ascii="Times New Roman" w:hAnsi="Times New Roman" w:cs="Times New Roman"/>
          <w:color w:val="000000" w:themeColor="text1"/>
        </w:rPr>
        <w:fldChar w:fldCharType="end"/>
      </w:r>
      <w:r w:rsidRPr="00F0155A">
        <w:rPr>
          <w:rFonts w:ascii="Times New Roman" w:hAnsi="Times New Roman" w:cs="Times New Roman"/>
          <w:color w:val="000000" w:themeColor="text1"/>
        </w:rPr>
        <w:t xml:space="preserve">. Thus, this study will focus on financing support to SMEs due to </w:t>
      </w:r>
      <w:r w:rsidRPr="00F0155A">
        <w:rPr>
          <w:rFonts w:ascii="Times New Roman" w:hAnsi="Times New Roman" w:cs="Times New Roman"/>
          <w:color w:val="000000" w:themeColor="text1"/>
          <w:lang w:bidi="ar-IQ"/>
        </w:rPr>
        <w:t xml:space="preserve">access to finance regarded as the top constraint faced by small enterprises everywhere </w:t>
      </w:r>
      <w:r w:rsidRPr="00F0155A">
        <w:rPr>
          <w:rFonts w:ascii="Times New Roman" w:hAnsi="Times New Roman" w:cs="Times New Roman"/>
          <w:color w:val="000000" w:themeColor="text1"/>
          <w:lang w:bidi="ar-IQ"/>
        </w:rPr>
        <w:fldChar w:fldCharType="begin" w:fldLock="1"/>
      </w:r>
      <w:r w:rsidRPr="00F0155A">
        <w:rPr>
          <w:rFonts w:ascii="Times New Roman" w:hAnsi="Times New Roman" w:cs="Times New Roman"/>
          <w:color w:val="000000" w:themeColor="text1"/>
          <w:lang w:bidi="ar-IQ"/>
        </w:rPr>
        <w:instrText>ADDIN CSL_CITATION { "citationItems" : [ { "id" : "ITEM-1", "itemData" : { "author" : [ { "dropping-particle" : "", "family" : "Beyene", "given" : "Asmelash", "non-dropping-particle" : "", "parse-names" : false, "suffix" : "" } ], "container-title" : "Journal of Global Strategic Management", "id" : "ITEM-1", "issue" : "3", "issued" : { "date-parts" : [ [ "2002" ] ] }, "page" : "130-156", "title" : "Enhancing the Competitiveness and Productivity of Small and Medium Scale Enterprises ( SMEs ) in Africa : An Analysis of Differential Roles of National Governments Through Improved Support Services", "type" : "article-journal", "volume" : "27" }, "uris" : [ "http://www.mendeley.com/documents/?uuid=ca2b0787-5f1e-486a-9d7a-e851a210191c" ] } ], "mendeley" : { "formattedCitation" : "(Beyene, 2002)", "plainTextFormattedCitation" : "(Beyene, 2002)", "previouslyFormattedCitation" : "(Beyene, 2002)" }, "properties" : { "noteIndex" : 0 }, "schema" : "https://github.com/citation-style-language/schema/raw/master/csl-citation.json" }</w:instrText>
      </w:r>
      <w:r w:rsidRPr="00F0155A">
        <w:rPr>
          <w:rFonts w:ascii="Times New Roman" w:hAnsi="Times New Roman" w:cs="Times New Roman"/>
          <w:color w:val="000000" w:themeColor="text1"/>
          <w:lang w:bidi="ar-IQ"/>
        </w:rPr>
        <w:fldChar w:fldCharType="separate"/>
      </w:r>
      <w:r w:rsidRPr="00F0155A">
        <w:rPr>
          <w:rFonts w:ascii="Times New Roman" w:hAnsi="Times New Roman" w:cs="Times New Roman"/>
          <w:noProof/>
          <w:color w:val="000000" w:themeColor="text1"/>
          <w:lang w:bidi="ar-IQ"/>
        </w:rPr>
        <w:t>(Beyene, 2002)</w:t>
      </w:r>
      <w:r w:rsidRPr="00F0155A">
        <w:rPr>
          <w:rFonts w:ascii="Times New Roman" w:hAnsi="Times New Roman" w:cs="Times New Roman"/>
          <w:color w:val="000000" w:themeColor="text1"/>
          <w:lang w:bidi="ar-IQ"/>
        </w:rPr>
        <w:fldChar w:fldCharType="end"/>
      </w:r>
      <w:r w:rsidRPr="00F0155A">
        <w:rPr>
          <w:rFonts w:ascii="Times New Roman" w:hAnsi="Times New Roman" w:cs="Times New Roman"/>
          <w:color w:val="000000" w:themeColor="text1"/>
          <w:lang w:bidi="ar-IQ"/>
        </w:rPr>
        <w:t xml:space="preserve">. According to the </w:t>
      </w:r>
      <w:proofErr w:type="spellStart"/>
      <w:r w:rsidRPr="00F0155A">
        <w:rPr>
          <w:rFonts w:ascii="Times New Roman" w:hAnsi="Times New Roman" w:cs="Times New Roman"/>
          <w:color w:val="000000" w:themeColor="text1"/>
          <w:lang w:bidi="ar-IQ"/>
        </w:rPr>
        <w:t>Landstrom</w:t>
      </w:r>
      <w:proofErr w:type="spellEnd"/>
      <w:r w:rsidRPr="00F0155A">
        <w:rPr>
          <w:rFonts w:ascii="Times New Roman" w:hAnsi="Times New Roman" w:cs="Times New Roman"/>
          <w:color w:val="000000" w:themeColor="text1"/>
          <w:lang w:bidi="ar-IQ"/>
        </w:rPr>
        <w:t xml:space="preserve"> and Stevenson (2002), the general reasons </w:t>
      </w:r>
      <w:r w:rsidR="00AA503F">
        <w:rPr>
          <w:rFonts w:ascii="Times New Roman" w:hAnsi="Times New Roman" w:cs="Times New Roman"/>
          <w:color w:val="000000" w:themeColor="text1"/>
          <w:lang w:bidi="ar-IQ"/>
        </w:rPr>
        <w:t>for</w:t>
      </w:r>
      <w:r w:rsidRPr="00F0155A">
        <w:rPr>
          <w:rFonts w:ascii="Times New Roman" w:hAnsi="Times New Roman" w:cs="Times New Roman"/>
          <w:color w:val="000000" w:themeColor="text1"/>
          <w:lang w:bidi="ar-IQ"/>
        </w:rPr>
        <w:t xml:space="preserve"> </w:t>
      </w:r>
      <w:r w:rsidR="00AA503F" w:rsidRPr="00F0155A">
        <w:rPr>
          <w:rFonts w:ascii="Times New Roman" w:hAnsi="Times New Roman" w:cs="Times New Roman"/>
          <w:color w:val="000000" w:themeColor="text1"/>
          <w:lang w:bidi="ar-IQ"/>
        </w:rPr>
        <w:t xml:space="preserve">government </w:t>
      </w:r>
      <w:r w:rsidR="00AA503F">
        <w:rPr>
          <w:rFonts w:ascii="Times New Roman" w:hAnsi="Times New Roman" w:cs="Times New Roman"/>
          <w:color w:val="000000" w:themeColor="text1"/>
          <w:lang w:bidi="ar-IQ"/>
        </w:rPr>
        <w:t xml:space="preserve">to </w:t>
      </w:r>
      <w:r w:rsidR="00AA503F" w:rsidRPr="00F0155A">
        <w:rPr>
          <w:rFonts w:ascii="Times New Roman" w:hAnsi="Times New Roman" w:cs="Times New Roman"/>
          <w:color w:val="000000" w:themeColor="text1"/>
          <w:lang w:bidi="ar-IQ"/>
        </w:rPr>
        <w:t>support</w:t>
      </w:r>
      <w:r w:rsidRPr="00F0155A">
        <w:rPr>
          <w:rFonts w:ascii="Times New Roman" w:hAnsi="Times New Roman" w:cs="Times New Roman"/>
          <w:color w:val="000000" w:themeColor="text1"/>
          <w:lang w:bidi="ar-IQ"/>
        </w:rPr>
        <w:t xml:space="preserve"> SMEs is to strengthen the existing base of  small enterprises by ensuring that they can compete in the market place and they are not prejudiced because of their small size </w:t>
      </w:r>
      <w:r w:rsidRPr="00F0155A">
        <w:rPr>
          <w:rFonts w:ascii="Times New Roman" w:hAnsi="Times New Roman" w:cs="Times New Roman"/>
          <w:color w:val="000000" w:themeColor="text1"/>
          <w:lang w:bidi="ar-IQ"/>
        </w:rPr>
        <w:fldChar w:fldCharType="begin" w:fldLock="1"/>
      </w:r>
      <w:r w:rsidRPr="00F0155A">
        <w:rPr>
          <w:rFonts w:ascii="Times New Roman" w:hAnsi="Times New Roman" w:cs="Times New Roman"/>
          <w:color w:val="000000" w:themeColor="text1"/>
          <w:lang w:bidi="ar-IQ"/>
        </w:rPr>
        <w:instrText>ADDIN CSL_CITATION { "citationItems" : [ { "id" : "ITEM-1", "itemData" : { "author" : [ { "dropping-particle" : "van", "family" : "Stel", "given" : "Andre", "non-dropping-particle" : "", "parse-names" : false, "suffix" : "" }, { "dropping-particle" : "", "family" : "Storey", "given" : "David", "non-dropping-particle" : "", "parse-names" : false, "suffix" : "" }, { "dropping-particle" : "", "family" : "Thurik", "given" : "Roy", "non-dropping-particle" : "", "parse-names" : false, "suffix" : "" } ], "container-title" : "Papers on entrepreneurship, growth and public policy.", "id" : "ITEM-1", "issued" : { "date-parts" : [ [ "2006" ] ] }, "page" : "31", "title" : "The effect of business regulations on nascent and actual entrepreneurship", "type" : "article-journal", "volume" : "(No. 0406)" }, "uris" : [ "http://www.mendeley.com/documents/?uuid=67d0c9ec-7b4c-4aa9-bb21-28bc9b356d85" ] } ], "mendeley" : { "formattedCitation" : "(Stel, Storey, &amp; Thurik, 2006)", "plainTextFormattedCitation" : "(Stel, Storey, &amp; Thurik, 2006)", "previouslyFormattedCitation" : "(Stel, Storey, &amp; Thurik, 2006)" }, "properties" : { "noteIndex" : 0 }, "schema" : "https://github.com/citation-style-language/schema/raw/master/csl-citation.json" }</w:instrText>
      </w:r>
      <w:r w:rsidRPr="00F0155A">
        <w:rPr>
          <w:rFonts w:ascii="Times New Roman" w:hAnsi="Times New Roman" w:cs="Times New Roman"/>
          <w:color w:val="000000" w:themeColor="text1"/>
          <w:lang w:bidi="ar-IQ"/>
        </w:rPr>
        <w:fldChar w:fldCharType="separate"/>
      </w:r>
      <w:r w:rsidRPr="00F0155A">
        <w:rPr>
          <w:rFonts w:ascii="Times New Roman" w:hAnsi="Times New Roman" w:cs="Times New Roman"/>
          <w:noProof/>
          <w:color w:val="000000" w:themeColor="text1"/>
          <w:lang w:bidi="ar-IQ"/>
        </w:rPr>
        <w:t>(Stel, Storey, &amp; Thurik, 2006)</w:t>
      </w:r>
      <w:r w:rsidRPr="00F0155A">
        <w:rPr>
          <w:rFonts w:ascii="Times New Roman" w:hAnsi="Times New Roman" w:cs="Times New Roman"/>
          <w:color w:val="000000" w:themeColor="text1"/>
          <w:lang w:bidi="ar-IQ"/>
        </w:rPr>
        <w:fldChar w:fldCharType="end"/>
      </w:r>
      <w:r w:rsidRPr="00F0155A">
        <w:rPr>
          <w:rFonts w:ascii="Times New Roman" w:hAnsi="Times New Roman" w:cs="Times New Roman"/>
          <w:color w:val="000000" w:themeColor="text1"/>
          <w:lang w:bidi="ar-IQ"/>
        </w:rPr>
        <w:t xml:space="preserve">.  The financing support includes providing finance directly and indirectly. They provide guidance and advice-soft support-to SMEs on a wide range of topics. They also try to influence the start-up of new firms, through measures such as grants, tax relief and educational programs </w:t>
      </w:r>
      <w:r w:rsidRPr="00F0155A">
        <w:rPr>
          <w:rFonts w:ascii="Times New Roman" w:hAnsi="Times New Roman" w:cs="Times New Roman"/>
          <w:color w:val="000000" w:themeColor="text1"/>
          <w:lang w:bidi="ar-IQ"/>
        </w:rPr>
        <w:fldChar w:fldCharType="begin" w:fldLock="1"/>
      </w:r>
      <w:r w:rsidRPr="00F0155A">
        <w:rPr>
          <w:rFonts w:ascii="Times New Roman" w:hAnsi="Times New Roman" w:cs="Times New Roman"/>
          <w:color w:val="000000" w:themeColor="text1"/>
          <w:lang w:bidi="ar-IQ"/>
        </w:rPr>
        <w:instrText>ADDIN CSL_CITATION { "citationItems" : [ { "id" : "ITEM-1", "itemData" : { "author" : [ { "dropping-particle" : "", "family" : "Beyene", "given" : "Asmelash", "non-dropping-particle" : "", "parse-names" : false, "suffix" : "" } ], "container-title" : "Journal of Global Strategic Management", "id" : "ITEM-1", "issue" : "3", "issued" : { "date-parts" : [ [ "2002" ] ] }, "page" : "130-156", "title" : "Enhancing the Competitiveness and Productivity of Small and Medium Scale Enterprises ( SMEs ) in Africa : An Analysis of Differential Roles of National Governments Through Improved Support Services", "type" : "article-journal", "volume" : "27" }, "uris" : [ "http://www.mendeley.com/documents/?uuid=ca2b0787-5f1e-486a-9d7a-e851a210191c" ] } ], "mendeley" : { "formattedCitation" : "(Beyene, 2002)", "plainTextFormattedCitation" : "(Beyene, 2002)", "previouslyFormattedCitation" : "(Beyene, 2002)" }, "properties" : { "noteIndex" : 0 }, "schema" : "https://github.com/citation-style-language/schema/raw/master/csl-citation.json" }</w:instrText>
      </w:r>
      <w:r w:rsidRPr="00F0155A">
        <w:rPr>
          <w:rFonts w:ascii="Times New Roman" w:hAnsi="Times New Roman" w:cs="Times New Roman"/>
          <w:color w:val="000000" w:themeColor="text1"/>
          <w:lang w:bidi="ar-IQ"/>
        </w:rPr>
        <w:fldChar w:fldCharType="separate"/>
      </w:r>
      <w:r w:rsidRPr="00F0155A">
        <w:rPr>
          <w:rFonts w:ascii="Times New Roman" w:hAnsi="Times New Roman" w:cs="Times New Roman"/>
          <w:noProof/>
          <w:color w:val="000000" w:themeColor="text1"/>
          <w:lang w:bidi="ar-IQ"/>
        </w:rPr>
        <w:t>(Beyene, 2002)</w:t>
      </w:r>
      <w:r w:rsidRPr="00F0155A">
        <w:rPr>
          <w:rFonts w:ascii="Times New Roman" w:hAnsi="Times New Roman" w:cs="Times New Roman"/>
          <w:color w:val="000000" w:themeColor="text1"/>
          <w:lang w:bidi="ar-IQ"/>
        </w:rPr>
        <w:fldChar w:fldCharType="end"/>
      </w:r>
      <w:r w:rsidRPr="00F0155A">
        <w:rPr>
          <w:rFonts w:ascii="Times New Roman" w:hAnsi="Times New Roman" w:cs="Times New Roman"/>
          <w:color w:val="000000" w:themeColor="text1"/>
          <w:lang w:bidi="ar-IQ"/>
        </w:rPr>
        <w:t>.</w:t>
      </w:r>
    </w:p>
    <w:p w14:paraId="38043406" w14:textId="77777777" w:rsidR="001D4CAB" w:rsidRDefault="001D4CAB" w:rsidP="001D4CAB">
      <w:pPr>
        <w:pStyle w:val="Heading1"/>
      </w:pPr>
      <w:r>
        <w:t xml:space="preserve"> </w:t>
      </w:r>
      <w:r w:rsidRPr="00F0155A">
        <w:t xml:space="preserve">Theoretical </w:t>
      </w:r>
      <w:r>
        <w:t>M</w:t>
      </w:r>
      <w:r w:rsidRPr="00F0155A">
        <w:t xml:space="preserve">odel and </w:t>
      </w:r>
      <w:r>
        <w:t>H</w:t>
      </w:r>
      <w:r w:rsidRPr="00F0155A">
        <w:t xml:space="preserve">ypothesis </w:t>
      </w:r>
      <w:r>
        <w:t>D</w:t>
      </w:r>
      <w:r w:rsidRPr="00F0155A">
        <w:t>evelopment</w:t>
      </w:r>
    </w:p>
    <w:p w14:paraId="144C89CC" w14:textId="77777777" w:rsidR="001D4CAB" w:rsidRPr="00F0155A" w:rsidRDefault="001D4CAB" w:rsidP="001D4CAB">
      <w:pPr>
        <w:spacing w:after="0" w:line="240" w:lineRule="auto"/>
        <w:rPr>
          <w:rFonts w:ascii="Times New Roman" w:hAnsi="Times New Roman" w:cs="Times New Roman"/>
        </w:rPr>
      </w:pPr>
      <w:bookmarkStart w:id="0" w:name="_Ref447290130"/>
      <w:r w:rsidRPr="00F0155A">
        <w:rPr>
          <w:rFonts w:ascii="Times New Roman" w:hAnsi="Times New Roman" w:cs="Times New Roman"/>
        </w:rPr>
        <w:t xml:space="preserve">The theoretical model proposed in this study illustrated in figure (1) explains the relationship relationships among Innovation (INN), Pro-Activeness (PRA), Risk Taking (RSK), Financing (FNC) and Competitive Advantage (CMA). </w:t>
      </w:r>
      <w:r w:rsidRPr="00F0155A">
        <w:rPr>
          <w:rFonts w:ascii="Times New Roman" w:hAnsi="Times New Roman" w:cs="Times New Roman"/>
        </w:rPr>
        <w:fldChar w:fldCharType="begin"/>
      </w:r>
      <w:r w:rsidRPr="00F0155A">
        <w:rPr>
          <w:rFonts w:ascii="Times New Roman" w:hAnsi="Times New Roman" w:cs="Times New Roman"/>
        </w:rPr>
        <w:instrText xml:space="preserve"> REF _Ref460240499 \h  \* MERGEFORMAT </w:instrText>
      </w:r>
      <w:r w:rsidRPr="00F0155A">
        <w:rPr>
          <w:rFonts w:ascii="Times New Roman" w:hAnsi="Times New Roman" w:cs="Times New Roman"/>
        </w:rPr>
      </w:r>
      <w:r w:rsidRPr="00F0155A">
        <w:rPr>
          <w:rFonts w:ascii="Times New Roman" w:hAnsi="Times New Roman" w:cs="Times New Roman"/>
        </w:rPr>
        <w:fldChar w:fldCharType="separate"/>
      </w:r>
      <w:r w:rsidR="00102CA7" w:rsidRPr="00F0155A">
        <w:rPr>
          <w:rFonts w:ascii="Times New Roman" w:hAnsi="Times New Roman" w:cs="Times New Roman"/>
        </w:rPr>
        <w:t xml:space="preserve">Figure </w:t>
      </w:r>
      <w:r w:rsidR="00102CA7">
        <w:rPr>
          <w:rFonts w:ascii="Times New Roman" w:hAnsi="Times New Roman" w:cs="Times New Roman"/>
          <w:noProof/>
        </w:rPr>
        <w:t>1</w:t>
      </w:r>
      <w:r w:rsidRPr="00F0155A">
        <w:rPr>
          <w:rFonts w:ascii="Times New Roman" w:hAnsi="Times New Roman" w:cs="Times New Roman"/>
        </w:rPr>
        <w:fldChar w:fldCharType="end"/>
      </w:r>
      <w:r w:rsidRPr="00F0155A">
        <w:rPr>
          <w:rFonts w:ascii="Times New Roman" w:hAnsi="Times New Roman" w:cs="Times New Roman"/>
        </w:rPr>
        <w:t xml:space="preserve"> presents the constructs and the hypothesized relationships. </w:t>
      </w:r>
    </w:p>
    <w:p w14:paraId="574F12C0" w14:textId="77777777" w:rsidR="001D4CAB" w:rsidRPr="00F0155A" w:rsidRDefault="001D4CAB" w:rsidP="001D4CAB">
      <w:pPr>
        <w:pStyle w:val="Caption"/>
        <w:rPr>
          <w:rFonts w:ascii="Times New Roman" w:hAnsi="Times New Roman" w:cs="Times New Roman"/>
          <w:szCs w:val="22"/>
        </w:rPr>
      </w:pPr>
    </w:p>
    <w:p w14:paraId="0F8F4012" w14:textId="77777777" w:rsidR="001D4CAB" w:rsidRPr="00F0155A" w:rsidRDefault="001D4CAB" w:rsidP="001D4CAB">
      <w:pPr>
        <w:pStyle w:val="Caption"/>
        <w:rPr>
          <w:rFonts w:ascii="Times New Roman" w:hAnsi="Times New Roman" w:cs="Times New Roman"/>
          <w:szCs w:val="22"/>
        </w:rPr>
      </w:pPr>
      <w:r w:rsidRPr="00F0155A">
        <w:rPr>
          <w:rFonts w:ascii="Times New Roman" w:hAnsi="Times New Roman" w:cs="Times New Roman"/>
          <w:noProof/>
          <w:szCs w:val="22"/>
        </w:rPr>
        <w:drawing>
          <wp:inline distT="0" distB="0" distL="0" distR="0" wp14:anchorId="2156201F" wp14:editId="001B0554">
            <wp:extent cx="5767070" cy="2771775"/>
            <wp:effectExtent l="19050" t="19050" r="2413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331" cy="2782474"/>
                    </a:xfrm>
                    <a:prstGeom prst="rect">
                      <a:avLst/>
                    </a:prstGeom>
                    <a:noFill/>
                    <a:ln w="3175">
                      <a:solidFill>
                        <a:schemeClr val="tx1"/>
                      </a:solidFill>
                    </a:ln>
                  </pic:spPr>
                </pic:pic>
              </a:graphicData>
            </a:graphic>
          </wp:inline>
        </w:drawing>
      </w:r>
    </w:p>
    <w:p w14:paraId="355A0061" w14:textId="1BF905B6" w:rsidR="001D4CAB" w:rsidRDefault="001D4CAB" w:rsidP="00362AFA">
      <w:pPr>
        <w:pStyle w:val="Caption"/>
        <w:ind w:firstLine="567"/>
        <w:jc w:val="left"/>
        <w:rPr>
          <w:rFonts w:ascii="Times New Roman" w:hAnsi="Times New Roman" w:cs="Times New Roman"/>
        </w:rPr>
      </w:pPr>
      <w:bookmarkStart w:id="1" w:name="_Ref460240499"/>
      <w:r w:rsidRPr="00F0155A">
        <w:rPr>
          <w:rFonts w:ascii="Times New Roman" w:hAnsi="Times New Roman" w:cs="Times New Roman"/>
          <w:szCs w:val="22"/>
        </w:rPr>
        <w:t xml:space="preserve">Figure </w:t>
      </w:r>
      <w:r w:rsidRPr="00F0155A">
        <w:rPr>
          <w:rFonts w:ascii="Times New Roman" w:hAnsi="Times New Roman" w:cs="Times New Roman"/>
          <w:szCs w:val="22"/>
        </w:rPr>
        <w:fldChar w:fldCharType="begin"/>
      </w:r>
      <w:r w:rsidRPr="00F0155A">
        <w:rPr>
          <w:rFonts w:ascii="Times New Roman" w:hAnsi="Times New Roman" w:cs="Times New Roman"/>
          <w:szCs w:val="22"/>
        </w:rPr>
        <w:instrText xml:space="preserve"> SEQ Figure \* ARABIC </w:instrText>
      </w:r>
      <w:r w:rsidRPr="00F0155A">
        <w:rPr>
          <w:rFonts w:ascii="Times New Roman" w:hAnsi="Times New Roman" w:cs="Times New Roman"/>
          <w:szCs w:val="22"/>
        </w:rPr>
        <w:fldChar w:fldCharType="separate"/>
      </w:r>
      <w:r w:rsidR="00102CA7">
        <w:rPr>
          <w:rFonts w:ascii="Times New Roman" w:hAnsi="Times New Roman" w:cs="Times New Roman"/>
          <w:noProof/>
          <w:szCs w:val="22"/>
        </w:rPr>
        <w:t>1</w:t>
      </w:r>
      <w:r w:rsidRPr="00F0155A">
        <w:rPr>
          <w:rFonts w:ascii="Times New Roman" w:hAnsi="Times New Roman" w:cs="Times New Roman"/>
          <w:noProof/>
          <w:szCs w:val="22"/>
        </w:rPr>
        <w:fldChar w:fldCharType="end"/>
      </w:r>
      <w:bookmarkEnd w:id="0"/>
      <w:bookmarkEnd w:id="1"/>
      <w:r w:rsidRPr="00F0155A">
        <w:rPr>
          <w:rFonts w:ascii="Times New Roman" w:hAnsi="Times New Roman" w:cs="Times New Roman"/>
          <w:szCs w:val="22"/>
        </w:rPr>
        <w:t>, Proposed Theoretical Model</w:t>
      </w:r>
      <w:r w:rsidRPr="00F0155A">
        <w:rPr>
          <w:rFonts w:ascii="Times New Roman" w:hAnsi="Times New Roman" w:cs="Times New Roman"/>
        </w:rPr>
        <w:t xml:space="preserve"> </w:t>
      </w:r>
    </w:p>
    <w:p w14:paraId="359A8A90" w14:textId="77777777" w:rsidR="00362AFA" w:rsidRPr="00362AFA" w:rsidRDefault="00362AFA" w:rsidP="00362AFA"/>
    <w:p w14:paraId="58CD66AC" w14:textId="77777777" w:rsidR="001D4CAB" w:rsidRPr="005C7FE5" w:rsidRDefault="001D4CAB" w:rsidP="001D4CAB">
      <w:pPr>
        <w:pStyle w:val="Heading2"/>
        <w:rPr>
          <w:color w:val="auto"/>
        </w:rPr>
      </w:pPr>
      <w:r w:rsidRPr="005C7FE5">
        <w:rPr>
          <w:color w:val="auto"/>
        </w:rPr>
        <w:t xml:space="preserve"> Entrepreneurial Orientation and Competitive Advantage</w:t>
      </w:r>
    </w:p>
    <w:p w14:paraId="5AE8C1BA" w14:textId="77777777" w:rsidR="001D4CAB" w:rsidRPr="005C7FE5" w:rsidRDefault="001D4CAB" w:rsidP="001D4CAB">
      <w:pPr>
        <w:pStyle w:val="BodyText"/>
        <w:spacing w:after="0" w:line="240" w:lineRule="auto"/>
        <w:jc w:val="both"/>
        <w:rPr>
          <w:rFonts w:ascii="Times New Roman" w:hAnsi="Times New Roman" w:cs="Times New Roman"/>
        </w:rPr>
      </w:pPr>
      <w:r w:rsidRPr="005C7FE5">
        <w:rPr>
          <w:rFonts w:ascii="Times New Roman" w:hAnsi="Times New Roman" w:cs="Times New Roman"/>
        </w:rPr>
        <w:t>Studying strategy content (the generic strategies) with strategy making processes EO seems to be a logical choice of enquiry. EO is the starting point for creating and implementing competitive strategies. Hence, studying EO and competitive strategy is a promising research endeavor (</w:t>
      </w:r>
      <w:proofErr w:type="spellStart"/>
      <w:r w:rsidRPr="005C7FE5">
        <w:rPr>
          <w:rFonts w:ascii="Times New Roman" w:hAnsi="Times New Roman" w:cs="Times New Roman"/>
          <w:noProof/>
        </w:rPr>
        <w:t>Lechner</w:t>
      </w:r>
      <w:proofErr w:type="spellEnd"/>
      <w:r w:rsidRPr="005C7FE5">
        <w:rPr>
          <w:rFonts w:ascii="Times New Roman" w:hAnsi="Times New Roman" w:cs="Times New Roman"/>
          <w:noProof/>
        </w:rPr>
        <w:t xml:space="preserve"> &amp; Gudmundsson, 2014; </w:t>
      </w:r>
      <w:r w:rsidRPr="005C7FE5">
        <w:rPr>
          <w:rFonts w:ascii="Times New Roman" w:hAnsi="Times New Roman" w:cs="Times New Roman"/>
        </w:rPr>
        <w:t xml:space="preserve">Rauch et al., 2009; Wales et al., 2011a). Van </w:t>
      </w:r>
      <w:proofErr w:type="spellStart"/>
      <w:r w:rsidRPr="005C7FE5">
        <w:rPr>
          <w:rFonts w:ascii="Times New Roman" w:hAnsi="Times New Roman" w:cs="Times New Roman"/>
        </w:rPr>
        <w:t>Geenhuizen</w:t>
      </w:r>
      <w:proofErr w:type="spellEnd"/>
      <w:r w:rsidRPr="005C7FE5">
        <w:rPr>
          <w:rFonts w:ascii="Times New Roman" w:hAnsi="Times New Roman" w:cs="Times New Roman"/>
        </w:rPr>
        <w:t xml:space="preserve"> et al. (2008) note that EO has emerged as a possible antidote to the problems facing businesses that wish to achieve a sustained competitive advantage. Thus, there is a particular interest in enriching the understanding of EO in an SME context. Different </w:t>
      </w:r>
      <w:r w:rsidRPr="005C7FE5">
        <w:rPr>
          <w:rFonts w:ascii="Times New Roman" w:hAnsi="Times New Roman" w:cs="Times New Roman"/>
        </w:rPr>
        <w:lastRenderedPageBreak/>
        <w:t xml:space="preserve">dimensions of EO (innovation, pro-activeness, and risk-taking) have differential impacts on the CA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"Lechner", "given" : "C.", "non-dropping-particle" : "", "parse-names" : false, "suffix" : "" }, { "dropping-particle" : "V.", "family" : "Gudmundsson", "given" : "S.", "non-dropping-particle" : "", "parse-names" : false, "suffix" : "" } ], "container-title" : "International Small Business Journal", "id" : "ITEM-1", "issue" : "1", "issued" : { "date-parts" : [ [ "2014" ] ] }, "page" : "36-60", "title" : "Entrepreneurial orientation, firm strategy and small firm performance", "type" : "article-journal", "volume" : "32" }, "uris" : [ "http://www.mendeley.com/documents/?uuid=bfe257c8-b3a3-489b-a94e-257e62663ed7" ] } ], "mendeley" : { "formattedCitation" : "(Lechner &amp; Gudmundsson, 2014)", "plainTextFormattedCitation" : "(Lechner &amp; Gudmundsson, 2014)", "previouslyFormattedCitation" : "(Lechner &amp; Gudmundsson, 2014)"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(Lechner &amp; Gudmundsson, 2014)</w:t>
      </w:r>
      <w:r w:rsidRPr="005C7FE5">
        <w:rPr>
          <w:rFonts w:ascii="Times New Roman" w:hAnsi="Times New Roman" w:cs="Times New Roman"/>
        </w:rPr>
        <w:fldChar w:fldCharType="end"/>
      </w:r>
      <w:r w:rsidRPr="005C7FE5">
        <w:rPr>
          <w:rFonts w:ascii="Times New Roman" w:hAnsi="Times New Roman" w:cs="Times New Roman"/>
        </w:rPr>
        <w:t xml:space="preserve">. </w:t>
      </w:r>
    </w:p>
    <w:p w14:paraId="2E5CF655"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3F62D4B9" w14:textId="2F9F7264"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Through the process of innovations firms discover ways to operate more efficiently. Market innovations contribute to a company's interest in operating more effectively; in that they help the firm identify new market space in which it can compete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"Kuratko", "given" : "Donald F.", "non-dropping-particle" : "", "parse-names" : false, "suffix" : "" }, { "dropping-particle" : "", "family" : "Ireland", "given" : "R. Duane", "non-dropping-particle" : "", "parse-names" : false, "suffix" : "" }, { "dropping-particle" : "", "family" : "Hornsby", "given" : "Jeffrey S.", "non-dropping-particle" : "", "parse-names" : false, "suffix" : "" } ], "container-title" : "Academy of Management Executive", "id" : "ITEM-1", "issue" : "4", "issued" : { "date-parts" : [ [ "2001" ] ] }, "page" : "60-71", "title" : "Improving firm performance through entrepreneurial actions: Acordia's corporate entrepreneurship strategy.", "type" : "article-journal", "volume" : "15" }, "uris" : [ "http://www.mendeley.com/documents/?uuid=f7d9ebc6-1537-44e8-88be-a247db0a9a6f" ] } ], "mendeley" : { "formattedCitation" : "(Kuratko, Ireland, &amp; Hornsby, 2001)", "plainTextFormattedCitation" : "(Kuratko, Ireland, &amp; Hornsby, 2001)", "previouslyFormattedCitation" : "(Kuratko, Ireland, &amp; Hornsby, 2001)"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(Kuratko, Ireland, &amp; Hornsby, 2001)</w:t>
      </w:r>
      <w:r w:rsidRPr="005C7FE5">
        <w:rPr>
          <w:rFonts w:ascii="Times New Roman" w:hAnsi="Times New Roman" w:cs="Times New Roman"/>
        </w:rPr>
        <w:fldChar w:fldCharType="end"/>
      </w:r>
      <w:r w:rsidRPr="005C7FE5">
        <w:rPr>
          <w:rFonts w:ascii="Times New Roman" w:hAnsi="Times New Roman" w:cs="Times New Roman"/>
        </w:rPr>
        <w:t xml:space="preserve">. Differentiation requires innovation capabilities, leading to new products that increase the value to the customer, justifying price premiums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"Lechner", "given" : "C.", "non-dropping-particle" : "", "parse-names" : false, "suffix" : "" }, { "dropping-particle" : "V.", "family" : "Gudmundsson", "given" : "S.", "non-dropping-particle" : "", "parse-names" : false, "suffix" : "" } ], "container-title" : "International Small Business Journal", "id" : "ITEM-1", "issue" : "1", "issued" : { "date-parts" : [ [ "2014" ] ] }, "page" : "36-60", "title" : "Entrepreneurial orientation, firm strategy and small firm performance", "type" : "article-journal", "volume" : "32" }, "uris" : [ "http://www.mendeley.com/documents/?uuid=bfe257c8-b3a3-489b-a94e-257e62663ed7" ] } ], "mendeley" : { "formattedCitation" : "(Lechner &amp; Gudmundsson, 2014)", "plainTextFormattedCitation" : "(Lechner &amp; Gudmundsson, 2014)", "previouslyFormattedCitation" : "(Lechner &amp; Gudmundsson, 2014)"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(Lechner &amp; Gudmundsson, 2014)</w:t>
      </w:r>
      <w:r w:rsidRPr="005C7FE5">
        <w:rPr>
          <w:rFonts w:ascii="Times New Roman" w:hAnsi="Times New Roman" w:cs="Times New Roman"/>
        </w:rPr>
        <w:fldChar w:fldCharType="end"/>
      </w:r>
      <w:r w:rsidRPr="005C7FE5">
        <w:rPr>
          <w:rFonts w:ascii="Times New Roman" w:hAnsi="Times New Roman" w:cs="Times New Roman"/>
        </w:rPr>
        <w:t xml:space="preserve">. In the same context,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"Gitau", "given" : "Geoffrey", "non-dropping-particle" : "", "parse-names" : false, "suffix" : "" }, { "dropping-particle" : "", "family" : "Mukulu", "given" : "Elegwa", "non-dropping-particle" : "", "parse-names" : false, "suffix" : "" }, { "dropping-particle" : "", "family" : "Kihoro", "given" : "John", "non-dropping-particle" : "", "parse-names" : false, "suffix" : "" } ], "id" : "ITEM-1", "issue" : "2", "issued" : { "date-parts" : [ [ "2016" ] ] }, "page" : "2010-2016", "title" : "Influence of Entrepreneurial Orientation on Competitive Advantage among Mobile Service Providers in Kenya", "type" : "article-journal", "volume" : "3" }, "uris" : [ "http://www.mendeley.com/documents/?uuid=d1094978-5a89-4dd7-8a59-ca02bc80f9f0" ] } ], "mendeley" : { "formattedCitation" : "(Gitau et al., 2016)", "manualFormatting" : "Gitau et al., (2016)", "plainTextFormattedCitation" : "(Gitau et al., 2016)", "previouslyFormattedCitation" : "(Gitau et al., 2016)"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Gitau et al., (2016)</w:t>
      </w:r>
      <w:r w:rsidRPr="005C7FE5">
        <w:rPr>
          <w:rFonts w:ascii="Times New Roman" w:hAnsi="Times New Roman" w:cs="Times New Roman"/>
        </w:rPr>
        <w:fldChar w:fldCharType="end"/>
      </w:r>
      <w:r w:rsidRPr="005C7FE5">
        <w:rPr>
          <w:rFonts w:ascii="Times New Roman" w:hAnsi="Times New Roman" w:cs="Times New Roman"/>
        </w:rPr>
        <w:t xml:space="preserve"> stress that the firm should continuously keen on introducing new and rapid innovations to their customers in order to keep its competiveness. Thus, greater innovativeness will lead to increasing the C</w:t>
      </w:r>
      <w:r w:rsidR="002E51CA">
        <w:rPr>
          <w:rFonts w:ascii="Times New Roman" w:hAnsi="Times New Roman" w:cs="Times New Roman"/>
        </w:rPr>
        <w:t>M</w:t>
      </w:r>
      <w:r w:rsidRPr="005C7FE5">
        <w:rPr>
          <w:rFonts w:ascii="Times New Roman" w:hAnsi="Times New Roman" w:cs="Times New Roman"/>
        </w:rPr>
        <w:t>A in small firms. This leads to the first hypothesis:</w:t>
      </w:r>
    </w:p>
    <w:p w14:paraId="4D879FBD"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6707EA07" w14:textId="77777777" w:rsidR="001D4CAB" w:rsidRPr="005C7FE5" w:rsidRDefault="001D4CAB" w:rsidP="001D4CAB">
      <w:pPr>
        <w:autoSpaceDE w:val="0"/>
        <w:autoSpaceDN w:val="0"/>
        <w:adjustRightInd w:val="0"/>
        <w:spacing w:after="0" w:line="240" w:lineRule="auto"/>
        <w:rPr>
          <w:rFonts w:ascii="Times New Roman" w:hAnsi="Times New Roman" w:cs="Times New Roman"/>
          <w:i/>
          <w:iCs/>
        </w:rPr>
      </w:pPr>
      <w:r w:rsidRPr="005C7FE5">
        <w:rPr>
          <w:rFonts w:ascii="Times New Roman" w:hAnsi="Times New Roman" w:cs="Times New Roman"/>
          <w:b/>
          <w:bCs/>
          <w:i/>
          <w:iCs/>
        </w:rPr>
        <w:t>H</w:t>
      </w:r>
      <w:r w:rsidRPr="005C7FE5">
        <w:rPr>
          <w:rFonts w:ascii="Times New Roman" w:hAnsi="Times New Roman" w:cs="Times New Roman"/>
          <w:b/>
          <w:bCs/>
          <w:i/>
          <w:iCs/>
          <w:vertAlign w:val="subscript"/>
        </w:rPr>
        <w:t>1</w:t>
      </w:r>
      <w:r w:rsidRPr="005C7FE5">
        <w:rPr>
          <w:rFonts w:ascii="Times New Roman" w:hAnsi="Times New Roman" w:cs="Times New Roman"/>
          <w:i/>
          <w:iCs/>
        </w:rPr>
        <w:t>: Innovativeness positively influences CA in small firms.</w:t>
      </w:r>
    </w:p>
    <w:p w14:paraId="35A9FC9D" w14:textId="77777777" w:rsidR="001D4CAB" w:rsidRPr="005C7FE5" w:rsidRDefault="001D4CAB" w:rsidP="001D4CAB">
      <w:pPr>
        <w:autoSpaceDE w:val="0"/>
        <w:autoSpaceDN w:val="0"/>
        <w:adjustRightInd w:val="0"/>
        <w:spacing w:after="0" w:line="240" w:lineRule="auto"/>
        <w:rPr>
          <w:rFonts w:ascii="Times New Roman" w:hAnsi="Times New Roman" w:cs="Times New Roman"/>
          <w:i/>
          <w:iCs/>
        </w:rPr>
      </w:pPr>
    </w:p>
    <w:p w14:paraId="554CE65B" w14:textId="77777777" w:rsidR="001D4CAB" w:rsidRPr="005C7FE5" w:rsidRDefault="001D4CAB" w:rsidP="001D4CAB">
      <w:pPr>
        <w:pStyle w:val="BodyText"/>
        <w:spacing w:after="0" w:line="240" w:lineRule="auto"/>
        <w:jc w:val="both"/>
        <w:rPr>
          <w:rFonts w:ascii="Times New Roman" w:hAnsi="Times New Roman" w:cs="Times New Roman"/>
        </w:rPr>
      </w:pPr>
      <w:r w:rsidRPr="005C7FE5">
        <w:rPr>
          <w:rFonts w:ascii="Times New Roman" w:hAnsi="Times New Roman" w:cs="Times New Roman"/>
        </w:rPr>
        <w:t xml:space="preserve"> </w:t>
      </w:r>
      <w:r w:rsidRPr="005C7FE5">
        <w:rPr>
          <w:rFonts w:ascii="Times New Roman" w:hAnsi="Times New Roman" w:cs="Times New Roman"/>
          <w:b/>
          <w:bCs/>
        </w:rPr>
        <w:t>Pro-activeness</w:t>
      </w:r>
      <w:r w:rsidRPr="005C7FE5">
        <w:rPr>
          <w:rFonts w:ascii="Times New Roman" w:hAnsi="Times New Roman" w:cs="Times New Roman"/>
        </w:rPr>
        <w:t xml:space="preserve"> refers to how firms relate to market opportunities by seizing initiative in the marketplace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"Li", "given" : "Yong-Hui", "non-dropping-particle" : "", "parse-names" : false, "suffix" : "" }, { "dropping-particle" : "", "family" : "Huang", "given" : "Jing-Wen", "non-dropping-particle" : "", "parse-names" : false, "suffix" : "" }, { "dropping-particle" : "", "family" : "Tsai", "given" : "Ming-Tien", "non-dropping-particle" : "", "parse-names" : false, "suffix" : "" } ], "container-title" : "Industrial Marketing Management", "id" : "ITEM-1", "issue" : "4", "issued" : { "date-parts" : [ [ "2009" ] ] }, "page" : "440-449", "publisher" : "Elsevier Inc.", "title" : "Entrepreneurial orientation and firm performance: The role of knowledge creation process", "type" : "article-journal", "volume" : "38" }, "uris" : [ "http://www.mendeley.com/documents/?uuid=2ab17f84-cd80-45d0-a443-b793e885c724" ] } ], "mendeley" : { "formattedCitation" : "(Y.-H. Li, Huang, &amp; Tsai, 2009)", "plainTextFormattedCitation" : "(Y.-H. Li, Huang, &amp; Tsai, 2009)", "previouslyFormattedCitation" : "(Y.-H. Li, Huang, &amp; Tsai, 2009)"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(Y.-H. Li, Huang, &amp; Tsai, 2009)</w:t>
      </w:r>
      <w:r w:rsidRPr="005C7FE5">
        <w:rPr>
          <w:rFonts w:ascii="Times New Roman" w:hAnsi="Times New Roman" w:cs="Times New Roman"/>
        </w:rPr>
        <w:fldChar w:fldCharType="end"/>
      </w:r>
      <w:r w:rsidRPr="005C7FE5">
        <w:rPr>
          <w:rFonts w:ascii="Times New Roman" w:hAnsi="Times New Roman" w:cs="Times New Roman"/>
        </w:rPr>
        <w:t xml:space="preserve">. At this point in tracing the link between EO and resource acquisition, it could be asserted that proactive firms seek specific and valuable resources to enhance their competitive advantage (Huang &amp; Wang, 2011). Firms with higher EO will proactively work to obtain resources provided by the environment. These resources can then be employed in proactive and innovative projects enabling the firm to explore and exploit fertile opportunities associated with a munificent environment. Firms may also create innovative-resource combinations that makes them able to further invest such opportunities. Consequently, they are more likely to create competitive advantages and achieve higher performance levels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"Rosenbusch", "given" : "N.", "non-dropping-particle" : "", "parse-names" : false, "suffix" : "" }, { "dropping-particle" : "", "family" : "Rauch", "given" : "A.", "non-dropping-particle" : "", "parse-names" : false, "suffix" : "" }, { "dropping-particle" : "", "family" : "Bausch", "given" : "A.", "non-dropping-particle" : "", "parse-names" : false, "suffix" : "" } ], "container-title" : "Journal of Management", "id" : "ITEM-1", "issue" : "3", "issued" : { "date-parts" : [ [ "2013" ] ] }, "page" : "633-659", "title" : "The Mediating Role of Entrepreneurial Orientation in the Task Environment-Performance Relationship: A Meta-Analysis", "type" : "article-journal", "volume" : "39" }, "uris" : [ "http://www.mendeley.com/documents/?uuid=fe112a96-fb63-4db5-a81a-15f642e443a8" ] } ], "mendeley" : { "formattedCitation" : "(Rosenbusch, Rauch, &amp; Bausch, 2013)", "plainTextFormattedCitation" : "(Rosenbusch, Rauch, &amp; Bausch, 2013)", "previouslyFormattedCitation" : "(Rosenbusch, Rauch, &amp; Bausch, 2013)"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(Rosenbusch, Rauch, &amp; Bausch, 2013)</w:t>
      </w:r>
      <w:r w:rsidRPr="005C7FE5">
        <w:rPr>
          <w:rFonts w:ascii="Times New Roman" w:hAnsi="Times New Roman" w:cs="Times New Roman"/>
        </w:rPr>
        <w:fldChar w:fldCharType="end"/>
      </w:r>
      <w:r w:rsidRPr="005C7FE5">
        <w:rPr>
          <w:rFonts w:ascii="Times New Roman" w:hAnsi="Times New Roman" w:cs="Times New Roman"/>
        </w:rPr>
        <w:t>.</w:t>
      </w:r>
    </w:p>
    <w:p w14:paraId="022E0A4D" w14:textId="77777777" w:rsidR="001D4CAB" w:rsidRPr="005C7FE5" w:rsidRDefault="001D4CAB" w:rsidP="001D4CAB">
      <w:pPr>
        <w:autoSpaceDE w:val="0"/>
        <w:autoSpaceDN w:val="0"/>
        <w:adjustRightInd w:val="0"/>
        <w:spacing w:after="0" w:line="276" w:lineRule="auto"/>
        <w:rPr>
          <w:rFonts w:ascii="Times New Roman" w:hAnsi="Times New Roman" w:cs="Times New Roman"/>
        </w:rPr>
      </w:pPr>
    </w:p>
    <w:p w14:paraId="3B4DEC43" w14:textId="77777777" w:rsidR="001D4CAB" w:rsidRPr="005C7FE5" w:rsidRDefault="001D4CAB" w:rsidP="001D4CAB">
      <w:pPr>
        <w:autoSpaceDE w:val="0"/>
        <w:autoSpaceDN w:val="0"/>
        <w:adjustRightInd w:val="0"/>
        <w:spacing w:after="0" w:line="276" w:lineRule="auto"/>
        <w:rPr>
          <w:rFonts w:ascii="Times New Roman" w:hAnsi="Times New Roman" w:cs="Times New Roman"/>
        </w:rPr>
      </w:pPr>
      <w:r w:rsidRPr="005C7FE5">
        <w:rPr>
          <w:rFonts w:ascii="Times New Roman" w:hAnsi="Times New Roman" w:cs="Times New Roman"/>
        </w:rPr>
        <w:t xml:space="preserve">Small firms to be active in identifying and exploiting business opportunities, they need to be pro-active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"Gitau", "given" : "Geoffrey", "non-dropping-particle" : "", "parse-names" : false, "suffix" : "" }, { "dropping-particle" : "", "family" : "Mukulu", "given" : "Elegwa", "non-dropping-particle" : "", "parse-names" : false, "suffix" : "" }, { "dropping-particle" : "", "family" : "Kihoro", "given" : "John", "non-dropping-particle" : "", "parse-names" : false, "suffix" : "" } ], "id" : "ITEM-1", "issue" : "2", "issued" : { "date-parts" : [ [ "2016" ] ] }, "page" : "2010-2016", "title" : "Influence of Entrepreneurial Orientation on Competitive Advantage among Mobile Service Providers in Kenya", "type" : "article-journal", "volume" : "3" }, "uris" : [ "http://www.mendeley.com/documents/?uuid=d1094978-5a89-4dd7-8a59-ca02bc80f9f0" ] } ], "mendeley" : { "formattedCitation" : "(Gitau et al., 2016)", "plainTextFormattedCitation" : "(Gitau et al., 2016)", "previouslyFormattedCitation" : "(Gitau et al., 2016)"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(Gitau et al., 2016)</w:t>
      </w:r>
      <w:r w:rsidRPr="005C7FE5">
        <w:rPr>
          <w:rFonts w:ascii="Times New Roman" w:hAnsi="Times New Roman" w:cs="Times New Roman"/>
        </w:rPr>
        <w:fldChar w:fldCharType="end"/>
      </w:r>
      <w:r w:rsidRPr="005C7FE5">
        <w:rPr>
          <w:rFonts w:ascii="Times New Roman" w:hAnsi="Times New Roman" w:cs="Times New Roman"/>
        </w:rPr>
        <w:t xml:space="preserve">. The pro-activeness dimension makes a firm to adopt continuous environmental scanning and acts in advance towards change to better serve customers and markets. Pro-activeness leverages the firm's responsiveness capability and propensity to act to meet new circumstances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"Hughes", "given" : "Mathew", "non-dropping-particle" : "", "parse-names" : false, "suffix" : "" }, { "dropping-particle" : "", "family" : "Morgan", "given" : "Robert E.", "non-dropping-particle" : "", "parse-names" : false, "suffix" : "" } ], "container-title" : "Industrial Marketing Management", "id" : "ITEM-1", "issue" : "5", "issued" : { "date-parts" : [ [ "2007" ] ] }, "page" : "651-661", "title" : "Deconstructing the relationship between entrepreneurial orientation and business performance at the embryonic stage of firm growth", "type" : "article-journal", "volume" : "36" }, "uris" : [ "http://www.mendeley.com/documents/?uuid=ee373918-b3a3-4165-8fe2-3d5dd0b84456" ] } ], "mendeley" : { "formattedCitation" : "(Hughes &amp; Morgan, 2007)", "plainTextFormattedCitation" : "(Hughes &amp; Morgan, 2007)", "previouslyFormattedCitation" : "(Hughes &amp; Morgan, 2007)"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(Hughes &amp; Morgan, 2007)</w:t>
      </w:r>
      <w:r w:rsidRPr="005C7FE5">
        <w:rPr>
          <w:rFonts w:ascii="Times New Roman" w:hAnsi="Times New Roman" w:cs="Times New Roman"/>
        </w:rPr>
        <w:fldChar w:fldCharType="end"/>
      </w:r>
      <w:r w:rsidRPr="005C7FE5">
        <w:rPr>
          <w:rFonts w:ascii="Times New Roman" w:hAnsi="Times New Roman" w:cs="Times New Roman"/>
        </w:rPr>
        <w:t xml:space="preserve">. Thus, a proactive firm tends to become first movers, and it is rewarded by marketplace positions of competitive advantage such as unusual returns, distribution channels, and brand recognition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"Li", "given" : "Yong-Hui", "non-dropping-particle" : "", "parse-names" : false, "suffix" : "" }, { "dropping-particle" : "", "family" : "Huang", "given" : "Jing-Wen", "non-dropping-particle" : "", "parse-names" : false, "suffix" : "" }, { "dropping-particle" : "", "family" : "Tsai", "given" : "Ming-Tien", "non-dropping-particle" : "", "parse-names" : false, "suffix" : "" } ], "container-title" : "Industrial Marketing Management", "id" : "ITEM-1", "issue" : "4", "issued" : { "date-parts" : [ [ "2009" ] ] }, "page" : "440-449", "publisher" : "Elsevier Inc.", "title" : "Entrepreneurial orientation and firm performance: The role of knowledge creation process", "type" : "article-journal", "volume" : "38" }, "uris" : [ "http://www.mendeley.com/documents/?uuid=2ab17f84-cd80-45d0-a443-b793e885c724" ] } ], "mendeley" : { "formattedCitation" : "(Y.-H. Li et al., 2009)", "manualFormatting" : "( Li et al., 2009)", "plainTextFormattedCitation" : "(Y.-H. Li et al., 2009)", "previouslyFormattedCitation" : "(Y.-H. Li et al., 2009)"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 Li et al., 2009)</w:t>
      </w:r>
      <w:r w:rsidRPr="005C7FE5">
        <w:rPr>
          <w:rFonts w:ascii="Times New Roman" w:hAnsi="Times New Roman" w:cs="Times New Roman"/>
        </w:rPr>
        <w:fldChar w:fldCharType="end"/>
      </w:r>
      <w:r w:rsidRPr="005C7FE5">
        <w:rPr>
          <w:rFonts w:ascii="Times New Roman" w:hAnsi="Times New Roman" w:cs="Times New Roman"/>
        </w:rPr>
        <w:t>. Accordingly, it is hypothesized that:</w:t>
      </w:r>
    </w:p>
    <w:p w14:paraId="376D9A56" w14:textId="77777777" w:rsidR="001D4CAB" w:rsidRPr="005C7FE5" w:rsidRDefault="001D4CAB" w:rsidP="001D4CAB">
      <w:pPr>
        <w:autoSpaceDE w:val="0"/>
        <w:autoSpaceDN w:val="0"/>
        <w:adjustRightInd w:val="0"/>
        <w:spacing w:after="0" w:line="276" w:lineRule="auto"/>
        <w:rPr>
          <w:rFonts w:ascii="Times New Roman" w:hAnsi="Times New Roman" w:cs="Times New Roman"/>
        </w:rPr>
      </w:pPr>
    </w:p>
    <w:p w14:paraId="02C6B77A" w14:textId="77777777" w:rsidR="001D4CAB" w:rsidRPr="005C7FE5" w:rsidRDefault="001D4CAB" w:rsidP="001D4CAB">
      <w:pPr>
        <w:autoSpaceDE w:val="0"/>
        <w:autoSpaceDN w:val="0"/>
        <w:adjustRightInd w:val="0"/>
        <w:spacing w:after="0" w:line="276" w:lineRule="auto"/>
        <w:rPr>
          <w:rFonts w:ascii="Times New Roman" w:hAnsi="Times New Roman" w:cs="Times New Roman"/>
          <w:i/>
          <w:iCs/>
        </w:rPr>
      </w:pPr>
      <w:r w:rsidRPr="005C7FE5">
        <w:rPr>
          <w:rFonts w:ascii="Times New Roman" w:hAnsi="Times New Roman" w:cs="Times New Roman"/>
          <w:b/>
          <w:bCs/>
          <w:i/>
          <w:iCs/>
        </w:rPr>
        <w:t>H</w:t>
      </w:r>
      <w:r w:rsidRPr="005C7FE5">
        <w:rPr>
          <w:rFonts w:ascii="Times New Roman" w:hAnsi="Times New Roman" w:cs="Times New Roman"/>
          <w:b/>
          <w:bCs/>
          <w:i/>
          <w:iCs/>
          <w:vertAlign w:val="subscript"/>
        </w:rPr>
        <w:t xml:space="preserve">2: </w:t>
      </w:r>
      <w:r w:rsidRPr="005C7FE5">
        <w:rPr>
          <w:rFonts w:ascii="Times New Roman" w:hAnsi="Times New Roman" w:cs="Times New Roman"/>
          <w:i/>
          <w:iCs/>
        </w:rPr>
        <w:t xml:space="preserve"> Pro-activeness positively influences competitive advantage in small firms.</w:t>
      </w:r>
    </w:p>
    <w:p w14:paraId="1C797BD2" w14:textId="77777777" w:rsidR="001D4CAB" w:rsidRPr="005C7FE5" w:rsidRDefault="001D4CAB" w:rsidP="001D4CAB">
      <w:pPr>
        <w:autoSpaceDE w:val="0"/>
        <w:autoSpaceDN w:val="0"/>
        <w:adjustRightInd w:val="0"/>
        <w:spacing w:after="0" w:line="276" w:lineRule="auto"/>
        <w:rPr>
          <w:rFonts w:ascii="Times New Roman" w:hAnsi="Times New Roman" w:cs="Times New Roman"/>
        </w:rPr>
      </w:pPr>
    </w:p>
    <w:p w14:paraId="7B8FD91E" w14:textId="77777777" w:rsidR="001D4CAB" w:rsidRPr="005C7FE5" w:rsidRDefault="001D4CAB" w:rsidP="001D4CAB">
      <w:pPr>
        <w:autoSpaceDE w:val="0"/>
        <w:autoSpaceDN w:val="0"/>
        <w:adjustRightInd w:val="0"/>
        <w:spacing w:after="0" w:line="276" w:lineRule="auto"/>
        <w:rPr>
          <w:rFonts w:ascii="Times New Roman" w:hAnsi="Times New Roman" w:cs="Times New Roman"/>
        </w:rPr>
      </w:pPr>
      <w:r w:rsidRPr="005C7FE5">
        <w:rPr>
          <w:rFonts w:ascii="Times New Roman" w:hAnsi="Times New Roman" w:cs="Times New Roman"/>
          <w:b/>
          <w:bCs/>
        </w:rPr>
        <w:t>Risk-taking</w:t>
      </w:r>
      <w:r w:rsidRPr="005C7FE5">
        <w:rPr>
          <w:rFonts w:ascii="Times New Roman" w:hAnsi="Times New Roman" w:cs="Times New Roman"/>
        </w:rPr>
        <w:t xml:space="preserve"> means a tendency to take bold actions such as venturing into unknown new markets, committing a large portion of resources to ventures with uncertain outcomes, and/ or borrowing heavily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"Li", "given" : "Yong-Hui", "non-dropping-particle" : "", "parse-names" : false, "suffix" : "" }, { "dropping-particle" : "", "family" : "Huang", "given" : "Jing-Wen", "non-dropping-particle" : "", "parse-names" : false, "suffix" : "" }, { "dropping-particle" : "", "family" : "Tsai", "given" : "Ming-Tien", "non-dropping-particle" : "", "parse-names" : false, "suffix" : "" } ], "container-title" : "Industrial Marketing Management", "id" : "ITEM-1", "issue" : "4", "issued" : { "date-parts" : [ [ "2009" ] ] }, "page" : "440-449", "publisher" : "Elsevier Inc.", "title" : "Entrepreneurial orientation and firm performance: The role of knowledge creation process", "type" : "article-journal", "volume" : "38" }, "uris" : [ "http://www.mendeley.com/documents/?uuid=2ab17f84-cd80-45d0-a443-b793e885c724" ] }, { "id" : "ITEM-2", "itemData" : { "author" : [ { "dropping-particle" : "", "family" : "Walter", "given" : "Achim", "non-dropping-particle" : "", "parse-names" : false, "suffix" : "" }, { "dropping-particle" : "", "family" : "Auer", "given" : "Michael", "non-dropping-particle" : "", "parse-names" : false, "suffix" : "" }, { "dropping-particle" : "", "family" : "Ritter", "given" : "Thomas", "non-dropping-particle" : "", "parse-names" : false, "suffix" : "" } ], "container-title" : "Journal of Business Venturing", "id" : "ITEM-2", "issue" : "4", "issued" : { "date-parts" : [ [ "2006" ] ] }, "page" : "541-567", "title" : "The impact of network capabilities and entrepreneurial orientation on university spin-off performance", "type" : "article-journal", "volume" : "21" }, "uris" : [ "http://www.mendeley.com/documents/?uuid=d853e4b9-1560-46af-bc3a-fb469f52d4aa" ] } ], "mendeley" : { "formattedCitation" : "(Y.-H. Li et al., 2009; Walter, Auer, &amp; Ritter, 2006)", "plainTextFormattedCitation" : "(Y.-H. Li et al., 2009; Walter, Auer, &amp; Ritter, 2006)", "previouslyFormattedCitation" : "(Y.-H. Li et al., 2009; Walter, Auer, &amp; Ritter, 2006)"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(Y.-H. Li et al., 2009; Walter, Auer, &amp; Ritter, 2006)</w:t>
      </w:r>
      <w:r w:rsidRPr="005C7FE5">
        <w:rPr>
          <w:rFonts w:ascii="Times New Roman" w:hAnsi="Times New Roman" w:cs="Times New Roman"/>
        </w:rPr>
        <w:fldChar w:fldCharType="end"/>
      </w:r>
      <w:r w:rsidRPr="005C7FE5">
        <w:rPr>
          <w:rFonts w:ascii="Times New Roman" w:hAnsi="Times New Roman" w:cs="Times New Roman"/>
        </w:rPr>
        <w:t xml:space="preserve">. It involves the willingness to commit significant resources to opportunities, which have a chance to fail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"ISBN" : "1084-9467", "ISSN" : "1084-9467", "abstract" : "It is hypothesized that psychological strategy process characteristics, such as complete planning, critical point planning, opportunistic, and reactive, as well as entrepreneurial orientation (autonomy, innovativeness, competitive aggressiveness, and risk taking) are related to entrepreneurial success. In addition, the research examined whether perceived environmental difficulties moderate this relationship. A cross-sectional interview-based study of 87 small-scale business owners in Namibia was used. Results show that complete planning and a high entrepreneurial orientation of the owners was positively and a reactive strategy was negatively related to business success. Moreover, there were moderator effects of perceived environmental difficulties on the relationship between entrepreneurial orientation and success. [ABSTRACT FROM AUTHOR]", "author" : [ { "dropping-particle" : "", "family" : "Frese", "given" : "Michael", "non-dropping-particle" : "", "parse-names" : false, "suffix" : "" }, { "dropping-particle" : "", "family" : "Brantjes", "given" : "a.", "non-dropping-particle" : "", "parse-names" : false, "suffix" : "" }, { "dropping-particle" : "", "family" : "Hoorn", "given" : "R.", "non-dropping-particle" : "", "parse-names" : false, "suffix" : "" } ], "container-title" : "Journal Of Developmental Entrepreneurship", "id" : "ITEM-1", "issue" : "3", "issued" : { "date-parts" : [ [ "2002" ] ] }, "page" : "259-282", "title" : "Psychological Success Factors of Small Scale Businesses in Namibia: The Roles of Strategy Process, Entrepreneurial Orientation and the Environment", "type" : "article", "volume" : "7" }, "uris" : [ "http://www.mendeley.com/documents/?uuid=203c344a-32c4-493f-a35f-c69b5349d04c" ] } ], "mendeley" : { "formattedCitation" : "(Frese, Brantjes, &amp; Hoorn, 2002)", "plainTextFormattedCitation" : "(Frese, Brantjes, &amp; Hoorn, 2002)", "previouslyFormattedCitation" : "(Frese, Brantjes, &amp; Hoorn, 2002)"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(Frese, Brantjes, &amp; Hoorn, 2002)</w:t>
      </w:r>
      <w:r w:rsidRPr="005C7FE5">
        <w:rPr>
          <w:rFonts w:ascii="Times New Roman" w:hAnsi="Times New Roman" w:cs="Times New Roman"/>
        </w:rPr>
        <w:fldChar w:fldCharType="end"/>
      </w:r>
      <w:r w:rsidRPr="005C7FE5">
        <w:rPr>
          <w:rFonts w:ascii="Times New Roman" w:hAnsi="Times New Roman" w:cs="Times New Roman"/>
        </w:rPr>
        <w:t xml:space="preserve">. Risk-taking largely reflects the organization’s willingness to break away from the tried-and-true and venture into the unknown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"Wiklund", "given" : "J", "non-dropping-particle" : "", "parse-names" : false, "suffix" : "" }, { "dropping-particle" : "", "family" : "Shepherd", "given" : "D", "non-dropping-particle" : "", "parse-names" : false, "suffix" : "" } ], "container-title" : "Strategic Management Journal", "id" : "ITEM-1", "issue" : "13", "issued" : { "date-parts" : [ [ "2003" ] ] }, "page" : "1307-1314", "title" : "Knowledge-based resources, entrepreneurial orientation, and the performance of small and medium-sized businesses", "type" : "article-journal", "volume" : "24" }, "uris" : [ "http://www.mendeley.com/documents/?uuid=e987eadc-3326-40cb-b4b4-4fdeed3e13bd" ] } ], "mendeley" : { "formattedCitation" : "(J Wiklund &amp; Shepherd, 2003)", "manualFormatting" : "(Wiklund &amp; Shepherd, 2003)", "plainTextFormattedCitation" : "(J Wiklund &amp; Shepherd, 2003)", "previouslyFormattedCitation" : "(J Wiklund &amp; Shepherd, 2003)"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 xml:space="preserve">(Wiklund &amp; </w:t>
      </w:r>
      <w:r w:rsidRPr="005C7FE5">
        <w:rPr>
          <w:rFonts w:ascii="Times New Roman" w:hAnsi="Times New Roman" w:cs="Times New Roman"/>
          <w:noProof/>
          <w:highlight w:val="yellow"/>
        </w:rPr>
        <w:t>She</w:t>
      </w:r>
      <w:r w:rsidRPr="005C7FE5">
        <w:rPr>
          <w:rFonts w:ascii="Times New Roman" w:hAnsi="Times New Roman" w:cs="Times New Roman"/>
          <w:noProof/>
        </w:rPr>
        <w:t>pherd, 2003)</w:t>
      </w:r>
      <w:r w:rsidRPr="005C7FE5">
        <w:rPr>
          <w:rFonts w:ascii="Times New Roman" w:hAnsi="Times New Roman" w:cs="Times New Roman"/>
        </w:rPr>
        <w:fldChar w:fldCharType="end"/>
      </w:r>
      <w:r w:rsidRPr="005C7FE5">
        <w:rPr>
          <w:rFonts w:ascii="Times New Roman" w:hAnsi="Times New Roman" w:cs="Times New Roman"/>
        </w:rPr>
        <w:t xml:space="preserve">. It also allows the owners to make lucrative deals and it should, therefore, be positively related to success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"ISBN" : "1084-9467", "ISSN" : "1084-9467", "abstract" : "It is hypothesized that psychological strategy process characteristics, such as complete planning, critical point planning, opportunistic, and reactive, as well as entrepreneurial orientation (autonomy, innovativeness, competitive aggressiveness, and risk taking) are related to entrepreneurial success. In addition, the research examined whether perceived environmental difficulties moderate this relationship. A cross-sectional interview-based study of 87 small-scale business owners in Namibia was used. Results show that complete planning and a high entrepreneurial orientation of the owners was positively and a reactive strategy was negatively related to business success. Moreover, there were moderator effects of perceived environmental difficulties on the relationship between entrepreneurial orientation and success. [ABSTRACT FROM AUTHOR]", "author" : [ { "dropping-particle" : "", "family" : "Frese", "given" : "Michael", "non-dropping-particle" : "", "parse-names" : false, "suffix" : "" }, { "dropping-particle" : "", "family" : "Brantjes", "given" : "a.", "non-dropping-particle" : "", "parse-names" : false, "suffix" : "" }, { "dropping-particle" : "", "family" : "Hoorn", "given" : "R.", "non-dropping-particle" : "", "parse-names" : false, "suffix" : "" } ], "container-title" : "Journal Of Developmental Entrepreneurship", "id" : "ITEM-1", "issue" : "3", "issued" : { "date-parts" : [ [ "2002" ] ] }, "page" : "259-282", "title" : "Psychological Success Factors of Small Scale Businesses in Namibia: The Roles of Strategy Process, Entrepreneurial Orientation and the Environment", "type" : "article", "volume" : "7" }, "uris" : [ "http://www.mendeley.com/documents/?uuid=203c344a-32c4-493f-a35f-c69b5349d04c" ] } ], "mendeley" : { "formattedCitation" : "(Frese et al., 2002)", "plainTextFormattedCitation" : "(Frese et al., 2002)", "previouslyFormattedCitation" : "(Frese et al., 2002)"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(Frese et al., 2002)</w:t>
      </w:r>
      <w:r w:rsidRPr="005C7FE5">
        <w:rPr>
          <w:rFonts w:ascii="Times New Roman" w:hAnsi="Times New Roman" w:cs="Times New Roman"/>
        </w:rPr>
        <w:fldChar w:fldCharType="end"/>
      </w:r>
      <w:r w:rsidRPr="005C7FE5">
        <w:rPr>
          <w:rFonts w:ascii="Times New Roman" w:hAnsi="Times New Roman" w:cs="Times New Roman"/>
        </w:rPr>
        <w:t xml:space="preserve">. </w:t>
      </w:r>
    </w:p>
    <w:p w14:paraId="58893CB9" w14:textId="77777777" w:rsidR="001D4CAB" w:rsidRPr="005C7FE5" w:rsidRDefault="001D4CAB" w:rsidP="001D4CAB">
      <w:pPr>
        <w:autoSpaceDE w:val="0"/>
        <w:autoSpaceDN w:val="0"/>
        <w:adjustRightInd w:val="0"/>
        <w:spacing w:after="0" w:line="276" w:lineRule="auto"/>
        <w:rPr>
          <w:rFonts w:ascii="Times New Roman" w:hAnsi="Times New Roman" w:cs="Times New Roman"/>
        </w:rPr>
      </w:pPr>
      <w:r w:rsidRPr="005C7FE5">
        <w:rPr>
          <w:rFonts w:ascii="Times New Roman" w:hAnsi="Times New Roman" w:cs="Times New Roman"/>
          <w:lang w:bidi="ar-IQ"/>
        </w:rPr>
        <w:t xml:space="preserve">Differentiation strategies involve expending resources through research and development, marketing new products and services and promoting brand image (Porter, 1985). </w:t>
      </w:r>
      <w:r w:rsidRPr="005C7FE5">
        <w:rPr>
          <w:rFonts w:ascii="Times New Roman" w:hAnsi="Times New Roman" w:cs="Times New Roman"/>
        </w:rPr>
        <w:t xml:space="preserve">In addition, firm with making large resource commitments, obtain high returns by seizing opportunities in the marketplace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"Lumpkin", "given" : "G T", "non-dropping-particle" : "", "parse-names" : false, "suffix" : "" }, { "dropping-particle" : "", "family" : "Dess", "given" : "G G", "non-dropping-particle" : "", "parse-names" : false, "suffix" : "" } ], "container-title" : "Academy of Management Review", "id" : "ITEM-1", "issued" : { "date-parts" : [ [ "1996" ] ] }, "page" : "135-172", "title" : "Clarifying the entrepreneurial orientation construct and linking it to performance", "type" : "article-journal", "volume" : "21" }, "uris" : [ "http://www.mendeley.com/documents/?uuid=b66cf2ab-ab18-4203-a5f1-7996048c30e3" ] } ], "mendeley" : { "formattedCitation" : "(Lumpkin &amp; Dess, 1996)", "plainTextFormattedCitation" : "(Lumpkin &amp; Dess, 1996)", "previouslyFormattedCitation" : "(Lumpkin &amp; Dess, 1996)"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(Lumpkin &amp; Dess, 1996)</w:t>
      </w:r>
      <w:r w:rsidRPr="005C7FE5">
        <w:rPr>
          <w:rFonts w:ascii="Times New Roman" w:hAnsi="Times New Roman" w:cs="Times New Roman"/>
        </w:rPr>
        <w:fldChar w:fldCharType="end"/>
      </w:r>
      <w:r w:rsidRPr="005C7FE5">
        <w:rPr>
          <w:rFonts w:ascii="Times New Roman" w:hAnsi="Times New Roman" w:cs="Times New Roman"/>
        </w:rPr>
        <w:t>. Therefore, risk-taking should be more important for competitive advantage in small firms. This leads to the following hypothesis.</w:t>
      </w:r>
    </w:p>
    <w:p w14:paraId="18569946" w14:textId="77777777" w:rsidR="001D4CAB" w:rsidRPr="005C7FE5" w:rsidRDefault="001D4CAB" w:rsidP="001D4CAB">
      <w:pPr>
        <w:autoSpaceDE w:val="0"/>
        <w:autoSpaceDN w:val="0"/>
        <w:adjustRightInd w:val="0"/>
        <w:spacing w:after="0" w:line="276" w:lineRule="auto"/>
        <w:rPr>
          <w:rFonts w:ascii="Times New Roman" w:hAnsi="Times New Roman" w:cs="Times New Roman"/>
          <w:i/>
          <w:iCs/>
        </w:rPr>
      </w:pPr>
      <w:r w:rsidRPr="005C7FE5">
        <w:rPr>
          <w:rFonts w:ascii="Times New Roman" w:hAnsi="Times New Roman" w:cs="Times New Roman"/>
          <w:b/>
          <w:bCs/>
          <w:i/>
          <w:iCs/>
        </w:rPr>
        <w:t>H</w:t>
      </w:r>
      <w:r w:rsidRPr="005C7FE5">
        <w:rPr>
          <w:rFonts w:ascii="Times New Roman" w:hAnsi="Times New Roman" w:cs="Times New Roman"/>
          <w:b/>
          <w:bCs/>
          <w:i/>
          <w:iCs/>
          <w:vertAlign w:val="subscript"/>
        </w:rPr>
        <w:t>3</w:t>
      </w:r>
      <w:r w:rsidRPr="005C7FE5">
        <w:rPr>
          <w:rFonts w:ascii="Times New Roman" w:hAnsi="Times New Roman" w:cs="Times New Roman"/>
          <w:i/>
          <w:iCs/>
        </w:rPr>
        <w:t>: Risk-taking positively influences competitive advantage in small firms.</w:t>
      </w:r>
    </w:p>
    <w:p w14:paraId="4D42DABC" w14:textId="77777777" w:rsidR="001D4CAB" w:rsidRPr="005C7FE5" w:rsidRDefault="001D4CAB" w:rsidP="001D4CAB">
      <w:pPr>
        <w:autoSpaceDE w:val="0"/>
        <w:autoSpaceDN w:val="0"/>
        <w:adjustRightInd w:val="0"/>
        <w:spacing w:after="0"/>
        <w:rPr>
          <w:rFonts w:ascii="Times New Roman" w:hAnsi="Times New Roman" w:cs="Times New Roman"/>
        </w:rPr>
      </w:pPr>
    </w:p>
    <w:p w14:paraId="18CE4301" w14:textId="77777777" w:rsidR="001D4CAB" w:rsidRPr="005C7FE5" w:rsidRDefault="001D4CAB" w:rsidP="001D4CAB">
      <w:pPr>
        <w:pStyle w:val="Heading2"/>
        <w:rPr>
          <w:color w:val="auto"/>
        </w:rPr>
      </w:pPr>
      <w:r w:rsidRPr="005C7FE5">
        <w:rPr>
          <w:i/>
          <w:iCs/>
          <w:caps/>
          <w:color w:val="auto"/>
        </w:rPr>
        <w:t xml:space="preserve"> </w:t>
      </w:r>
      <w:r w:rsidRPr="005C7FE5">
        <w:rPr>
          <w:color w:val="auto"/>
        </w:rPr>
        <w:t>The Moderated role of Financing Support between Entrepreneurial Orientation and Competitive Advantage</w:t>
      </w:r>
    </w:p>
    <w:p w14:paraId="3BED35A3" w14:textId="12F42FD6" w:rsidR="001D4CAB" w:rsidRPr="005C7FE5" w:rsidRDefault="001D4CAB" w:rsidP="001D4CAB">
      <w:pPr>
        <w:spacing w:after="0" w:line="240" w:lineRule="auto"/>
        <w:rPr>
          <w:rFonts w:ascii="Times New Roman" w:hAnsi="Times New Roman" w:cs="Times New Roman"/>
          <w:lang w:bidi="ar-IQ"/>
        </w:rPr>
      </w:pPr>
      <w:r w:rsidRPr="005C7FE5">
        <w:rPr>
          <w:rFonts w:ascii="Times New Roman" w:hAnsi="Times New Roman" w:cs="Times New Roman"/>
        </w:rPr>
        <w:t xml:space="preserve">SMEs competiveness in international markets relies on their access to vital resources that include finance, technology and managerial skills. The policy environment within which SMEs also operate plays a critical role in their competitiveness. If the policy environment is onerous and creates a burden on the operations of SMEs, it is likely to compromise their competitiveness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"Sentsho", "given" : "Joel", "non-dropping-particle" : "", "parse-names" : false, "suffix" : "" }, { "dropping-particle" : "", "family" : "Maiketso", "given" : "Johnson T.", "non-dropping-particle" : "", "parse-names" : false, "suffix" : "" }, { "dropping-particle" : "", "family" : "Sengwakets", "given" : "Margaret", "non-dropping-particle" : "", "parse-names" : false, "suffix" : "" }, { "dropping-particle" : "", "family" : "Anderson", "given" : "Victoria Ndzinge", "non-dropping-particle" : "", "parse-names" : false, "suffix" : "" }, { "dropping-particle" : "", "family" : "Kayawe", "given" : "Tiro", "non-dropping-particle" : "", "parse-names" : false, "suffix" : "" } ], "id" : "ITEM-1", "issued" : { "date-parts" : [ [ "2007" ] ] }, "number-of-pages" : "1-127", "publisher" : "BIDPA", "publisher-place" : "Gaborone, Botswana", "title" : "Performance and competitiveness of small and medium sized manufacturing enterprises in Botswana", "type" : "report" }, "uris" : [ "http://www.mendeley.com/documents/?uuid=96f40adf-0aac-4f60-8f02-94a88acf54bf" ] } ], "mendeley" : { "formattedCitation" : "(Sentsho, Maiketso, Sengwakets, Anderson, &amp; Kayawe, 2007)", "plainTextFormattedCitation" : "(Sentsho, Maiketso, Sengwakets, Anderson, &amp; Kayawe, 2007)", "previouslyFormattedCitation" : "(Sentsho et al., 2007)"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(Sentsho, Maiketso, Sengwakets, Anderson, &amp; Kayawe, 2007)</w:t>
      </w:r>
      <w:r w:rsidRPr="005C7FE5">
        <w:rPr>
          <w:rFonts w:ascii="Times New Roman" w:hAnsi="Times New Roman" w:cs="Times New Roman"/>
        </w:rPr>
        <w:fldChar w:fldCharType="end"/>
      </w:r>
      <w:r w:rsidRPr="005C7FE5">
        <w:rPr>
          <w:rFonts w:ascii="Times New Roman" w:hAnsi="Times New Roman" w:cs="Times New Roman"/>
        </w:rPr>
        <w:t xml:space="preserve">. In the same perception,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"Okpara", "given" : "John O.", "non-dropping-particle" : "", "parse-names" : false, "suffix" : "" } ], "container-title" : "Management Research Review", "id" : "ITEM-1", "issue" : "2", "issued" : { "date-parts" : [ [ "2011" ] ] }, "page" : "156-171", "title" : "Factors constraining the growth and survival of SMEs in Nigeria: Implications for poverty alleviation", "type" : "article-journal", "volume" : "34" }, "uris" : [ "http://www.mendeley.com/documents/?uuid=beeb34f9-cc81-4720-b181-68c0b1071881" ] } ], "mendeley" : { "formattedCitation" : "(Okpara, 2011)", "manualFormatting" : "Okpara ( 2011)", "plainTextFormattedCitation" : "(Okpara, 2011)", "previouslyFormattedCitation" : "(Okpara, 2011)"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Okpara ( 2011)</w:t>
      </w:r>
      <w:r w:rsidRPr="005C7FE5">
        <w:rPr>
          <w:rFonts w:ascii="Times New Roman" w:hAnsi="Times New Roman" w:cs="Times New Roman"/>
        </w:rPr>
        <w:fldChar w:fldCharType="end"/>
      </w:r>
      <w:r w:rsidRPr="005C7FE5">
        <w:rPr>
          <w:rFonts w:ascii="Times New Roman" w:hAnsi="Times New Roman" w:cs="Times New Roman"/>
        </w:rPr>
        <w:t xml:space="preserve">, stressed that  since lack of finance support and corruption regarded as the most common constraints hindering SMEs growth and survival, it </w:t>
      </w:r>
      <w:r w:rsidR="002E51CA">
        <w:rPr>
          <w:rFonts w:ascii="Times New Roman" w:hAnsi="Times New Roman" w:cs="Times New Roman"/>
        </w:rPr>
        <w:t xml:space="preserve">is </w:t>
      </w:r>
      <w:r w:rsidRPr="005C7FE5">
        <w:rPr>
          <w:rFonts w:ascii="Times New Roman" w:hAnsi="Times New Roman" w:cs="Times New Roman"/>
        </w:rPr>
        <w:t xml:space="preserve">the role of government to  provide finance support to SMEs through government or through financing organization. </w:t>
      </w:r>
      <w:proofErr w:type="spellStart"/>
      <w:r w:rsidRPr="005C7FE5">
        <w:rPr>
          <w:rFonts w:ascii="Times New Roman" w:hAnsi="Times New Roman" w:cs="Times New Roman"/>
          <w:lang w:bidi="ar-IQ"/>
        </w:rPr>
        <w:t>Agyapong</w:t>
      </w:r>
      <w:proofErr w:type="spellEnd"/>
      <w:r w:rsidRPr="005C7FE5">
        <w:rPr>
          <w:rFonts w:ascii="Times New Roman" w:hAnsi="Times New Roman" w:cs="Times New Roman"/>
          <w:lang w:bidi="ar-IQ"/>
        </w:rPr>
        <w:t xml:space="preserve"> (2010), sees that it’s the government and policymakers role to provide viable credit support and non-financial business support services to help SMEs grow. Thus, according to previous studies, government financing support is to increase the SMEs competitiveness in both developed and developing countries </w:t>
      </w:r>
      <w:r w:rsidRPr="005C7FE5">
        <w:rPr>
          <w:rFonts w:ascii="Times New Roman" w:hAnsi="Times New Roman" w:cs="Times New Roman"/>
          <w:lang w:bidi="ar-IQ"/>
        </w:rPr>
        <w:fldChar w:fldCharType="begin" w:fldLock="1"/>
      </w:r>
      <w:r w:rsidRPr="005C7FE5">
        <w:rPr>
          <w:rFonts w:ascii="Times New Roman" w:hAnsi="Times New Roman" w:cs="Times New Roman"/>
          <w:lang w:bidi="ar-IQ"/>
        </w:rPr>
        <w:instrText>ADDIN CSL_CITATION { "citationItems" : [ { "id" : "ITEM-1", "itemData" : { "author" : [ { "dropping-particle" : "", "family" : "Aykan", "given" : "Ebru", "non-dropping-particle" : "", "parse-names" : false, "suffix" : "" }, { "dropping-particle" : "", "family" : "Aksoylu", "given" : "Semra", "non-dropping-particle" : "", "parse-names" : false, "suffix" : "" }, { "dropping-particle" : "", "family" : "S\u00f6nmez", "given" : "Ebru", "non-dropping-particle" : "", "parse-names" : false, "suffix" : "" } ], "container-title" : "Procedia - Social and Behavioral Sciences", "id" : "ITEM-1", "issued" : { "date-parts" : [ [ "2013", "11" ] ] }, "page" : "938-946", "title" : "Effects of Support Programs on Corporate Strategies of Small and Medium-sized Enterprises", "type" : "article-journal", "volume" : "99" }, "uris" : [ "http://www.mendeley.com/documents/?uuid=14faf929-76b5-4d08-b273-85b8d018d98c" ] }, { "id" : "ITEM-2", "itemData" : { "author" : [ { "dropping-particle" : "", "family" : "Gongera", "given" : "Enock", "non-dropping-particle" : "", "parse-names" : false, "suffix" : "" }, { "dropping-particle" : "", "family" : "Okoth", "given" : "Oddillia Nabwire", "non-dropping-particle" : "", "parse-names" : false, "suffix" : "" }, { "dropping-particle" : "", "family" : "Njuki", "given" : "Humphrey Muriuki", "non-dropping-particle" : "", "parse-names" : false, "suffix" : "" } ], "container-title" : "European Journal of Business and Management", "id" : "ITEM-2", "issue" : "17", "issued" : { "date-parts" : [ [ "2013" ] ] }, "page" : "120-126", "title" : "The Role of the Government in the Performance of Small Scale Enterprises in Dar es Salaam", "type" : "article-journal", "volume" : "5" }, "uris" : [ "http://www.mendeley.com/documents/?uuid=d5cfd1b0-68ac-4a02-a59b-93e47462f955" ] }, { "id" : "ITEM-3", "itemData" : { "author" : [ { "dropping-particle" : "", "family" : "Okpara", "given" : "John O.", "non-dropping-particle" : "", "parse-names" : false, "suffix" : "" } ], "container-title" : "Management Research Review", "id" : "ITEM-3", "issue" : "2", "issued" : { "date-parts" : [ [ "2011" ] ] }, "page" : "156-171", "title" : "Factors constraining the growth and survival of SMEs in Nigeria: Implications for poverty alleviation", "type" : "article-journal", "volume" : "34" }, "uris" : [ "http://www.mendeley.com/documents/?uuid=beeb34f9-cc81-4720-b181-68c0b1071881" ] }, { "id" : "ITEM-4", "itemData" : { "author" : [ { "dropping-particle" : "", "family" : "Agyapong", "given" : "D.", "non-dropping-particle" : "", "parse-names" : false, "suffix" : "" } ], "container-title" : "International Journal of business and management", "id" : "ITEM-4", "issue" : "12", "issued" : { "date-parts" : [ [ "2010" ] ] }, "page" : "196-205", "title" : "Micro , small and medium enterprises \u2019 activities , income level and poverty reduction in Ghana \u2013a synthesis of related literature", "type" : "article-journal", "volume" : "5" }, "uris" : [ "http://www.mendeley.com/documents/?uuid=45d82b68-09c1-4ce8-b75d-49df4060c6e0" ] }, { "id" : "ITEM-5", "itemData" : { "author" : [ { "dropping-particle" : "", "family" : "Djankov", "given" : "Simeon", "non-dropping-particle" : "", "parse-names" : false, "suffix" : "" } ], "container-title" : "The World Bank Research Observer", "id" : "ITEM-5", "issue" : "2", "issued" : { "date-parts" : [ [ "2009" ] ] }, "page" : "183-203", "title" : "The regulation of entry: A survey", "type" : "article-journal", "volume" : "24" }, "uris" : [ "http://www.mendeley.com/documents/?uuid=57dac2ed-4d2a-4d4c-bd8a-ba9d369ba860" ] }, { "id" : "ITEM-6", "itemData" : { "author" : [ { "dropping-particle" : "", "family" : "Ahmed", "given" : "Syed Zamberi", "non-dropping-particle" : "", "parse-names" : false, "suffix" : "" } ], "container-title" : "World Journal of Entrepreneurship, Management and Sustainable Development", "id" : "ITEM-6", "issue" : "4", "issued" : { "date-parts" : [ [ "2012" ] ] }, "page" : "217-232", "title" : "Micro, small and medium-sized enterprises development in the Kingdom of Saudi Arabia Problems and constraints", "type" : "article-journal", "volume" : "8" }, "uris" : [ "http://www.mendeley.com/documents/?uuid=ad191c62-f62d-4fed-995c-9fc34ab29d09" ] }, { "id" : "ITEM-7", "itemData" : { "author" : [ { "dropping-particle" : "", "family" : "ECA", "given" : "", "non-dropping-particle" : "", "parse-names" : false, "suffix" : "" } ], "id" : "ITEM-7", "issued" : { "date-parts" : [ [ "2001" ] ] }, "title" : "Enhancing the Competitiveness of Small and Medium Enterprises in Africa : A Strategic Framework for Support Services", "type" : "report" }, "uris" : [ "http://www.mendeley.com/documents/?uuid=d4c2cab2-e0d4-44fb-8531-4e9ac9555225" ] }, { "id" : "ITEM-8", "itemData" : { "author" : [ { "dropping-particle" : "", "family" : "Southiseng", "given" : "Nittana", "non-dropping-particle" : "", "parse-names" : false, "suffix" : "" }, { "dropping-particle" : "", "family" : "Walsh", "given" : "John", "non-dropping-particle" : "", "parse-names" : false, "suffix" : "" } ], "container-title" : "asian journal of business management", "id" : "ITEM-8", "issue" : "3", "issued" : { "date-parts" : [ [ "2010" ] ] }, "page" : "57-72", "title" : "Competition and Management Issues of SME Entrepreneurs in Laos : Evidence from Empirical Studies in Vientiane Municipality , Savannakhet and Luang Prabang", "type" : "article-journal", "volume" : "2" }, "uris" : [ "http://www.mendeley.com/documents/?uuid=2a61fa69-271e-4393-a4f5-3d1131687c19" ] } ], "mendeley" : { "formattedCitation" : "(Agyapong, 2010; Ahmed, 2012; Aykan et al., 2013; Djankov, 2009; ECA, 2001; Gongera, Okoth, &amp; Njuki, 2013; Okpara, 2011; Southiseng &amp; Walsh, 2010)", "plainTextFormattedCitation" : "(Agyapong, 2010; Ahmed, 2012; Aykan et al., 2013; Djankov, 2009; ECA, 2001; Gongera, Okoth, &amp; Njuki, 2013; Okpara, 2011; Southiseng &amp; Walsh, 2010)", "previouslyFormattedCitation" : "(Agyapong, 2010; Ahmed, 2012; Aykan et al., 2013; Djankov, 2009; ECA, 2001; Gongera, Okoth, &amp; Njuki, 2013; Okpara, 2011; Southiseng &amp; Walsh, 2010)" }, "properties" : { "noteIndex" : 0 }, "schema" : "https://github.com/citation-style-language/schema/raw/master/csl-citation.json" }</w:instrText>
      </w:r>
      <w:r w:rsidRPr="005C7FE5">
        <w:rPr>
          <w:rFonts w:ascii="Times New Roman" w:hAnsi="Times New Roman" w:cs="Times New Roman"/>
          <w:lang w:bidi="ar-IQ"/>
        </w:rPr>
        <w:fldChar w:fldCharType="separate"/>
      </w:r>
      <w:r w:rsidRPr="005C7FE5">
        <w:rPr>
          <w:rFonts w:ascii="Times New Roman" w:hAnsi="Times New Roman" w:cs="Times New Roman"/>
          <w:noProof/>
          <w:lang w:bidi="ar-IQ"/>
        </w:rPr>
        <w:t>(Agyapong, 2010; Ahmed, 2012; Aykan et al., 2013; Djankov, 2009; ECA, 2001; Gongera, Okoth, &amp; Njuki, 2013; Okpara, 2011; Southiseng &amp; Walsh, 2010)</w:t>
      </w:r>
      <w:r w:rsidRPr="005C7FE5">
        <w:rPr>
          <w:rFonts w:ascii="Times New Roman" w:hAnsi="Times New Roman" w:cs="Times New Roman"/>
          <w:lang w:bidi="ar-IQ"/>
        </w:rPr>
        <w:fldChar w:fldCharType="end"/>
      </w:r>
      <w:r w:rsidRPr="005C7FE5">
        <w:rPr>
          <w:rFonts w:ascii="Times New Roman" w:hAnsi="Times New Roman" w:cs="Times New Roman"/>
          <w:lang w:bidi="ar-IQ"/>
        </w:rPr>
        <w:t>.</w:t>
      </w:r>
    </w:p>
    <w:p w14:paraId="162F7181" w14:textId="77777777" w:rsidR="001D4CAB" w:rsidRPr="005C7FE5" w:rsidRDefault="001D4CAB" w:rsidP="001D4CAB">
      <w:pPr>
        <w:spacing w:after="0" w:line="240" w:lineRule="auto"/>
        <w:rPr>
          <w:rFonts w:ascii="Times New Roman" w:hAnsi="Times New Roman" w:cs="Times New Roman"/>
          <w:lang w:bidi="ar-IQ"/>
        </w:rPr>
      </w:pPr>
    </w:p>
    <w:p w14:paraId="352219B0" w14:textId="1F88C83D"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The intervention of government increased the effect of the relationship between the values of entrepreneurs, firm financing, management and performance growth of SMEs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"Shariff", "given" : "Mohd", "non-dropping-particle" : "", "parse-names" : false, "suffix" : "" }, { "dropping-particle" : "", "family" : "Peou", "given" : "Chea", "non-dropping-particle" : "", "parse-names" : false, "suffix" : "" } ], "container-title" : "\u2026 and Perspectives in Management", "id" : "ITEM-1", "issue" : "4", "issued" : { "date-parts" : [ [ "2008" ] ] }, "page" : "55-64", "title" : "The relationship of entrepreneurial values, firm financing and the management and growth performance of small-medium enterprises in Cambodia", "type" : "article-journal", "volume" : "6" }, "uris" : [ "http://www.mendeley.com/documents/?uuid=28695117-0bb3-4e90-b6d6-2210903aad1c" ] } ], "mendeley" : { "formattedCitation" : "(M. Shariff &amp; Peou, 2008)", "manualFormatting" : "(Shariff &amp; Peou, 2008)", "plainTextFormattedCitation" : "(M. Shariff &amp; Peou, 2008)", "previouslyFormattedCitation" : "(M. Shariff &amp; Peou, 2008)"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(Shariff &amp; Peou, 2008)</w:t>
      </w:r>
      <w:r w:rsidRPr="005C7FE5">
        <w:rPr>
          <w:rFonts w:ascii="Times New Roman" w:hAnsi="Times New Roman" w:cs="Times New Roman"/>
        </w:rPr>
        <w:fldChar w:fldCharType="end"/>
      </w:r>
      <w:r w:rsidRPr="005C7FE5">
        <w:rPr>
          <w:rFonts w:ascii="Times New Roman" w:hAnsi="Times New Roman" w:cs="Times New Roman"/>
        </w:rPr>
        <w:t>. In the same context,</w:t>
      </w:r>
      <w:r w:rsidRPr="005C7FE5">
        <w:rPr>
          <w:rFonts w:ascii="Times New Roman" w:hAnsi="Times New Roman" w:cs="Times New Roman"/>
          <w:b/>
          <w:bCs/>
        </w:rPr>
        <w:t xml:space="preserve"> </w:t>
      </w:r>
      <w:r w:rsidRPr="005C7FE5">
        <w:rPr>
          <w:rFonts w:ascii="Times New Roman" w:hAnsi="Times New Roman" w:cs="Times New Roman"/>
          <w:b/>
          <w:bCs/>
        </w:rPr>
        <w:fldChar w:fldCharType="begin" w:fldLock="1"/>
      </w:r>
      <w:r w:rsidRPr="005C7FE5">
        <w:rPr>
          <w:rFonts w:ascii="Times New Roman" w:hAnsi="Times New Roman" w:cs="Times New Roman"/>
          <w:b/>
          <w:bCs/>
        </w:rPr>
        <w:instrText>ADDIN CSL_CITATION { "citationItems" : [ { "id" : "ITEM-1", "itemData" : { "author" : [ { "dropping-particle" : "", "family" : "Abdullah", "given" : "T. M. C.", "non-dropping-particle" : "", "parse-names" : false, "suffix" : "" }, { "dropping-particle" : "", "family" : "Hussin", "given" : "Zolkafli", "non-dropping-particle" : "", "parse-names" : false, "suffix" : "" } ], "container-title" : "Journal of Global Strategic Management", "id" : "ITEM-1", "issue" : "1", "issued" : { "date-parts" : [ [ "2010" ] ] }, "page" : "64-73", "title" : "Moderating effect of government assistance and turnaround strategies \"a research on private manufacturing companies.", "type" : "article-journal", "volume" : "4" }, "uris" : [ "http://www.mendeley.com/documents/?uuid=3678118d-ded0-444a-9d92-4b97d0896348" ] } ], "mendeley" : { "formattedCitation" : "(T. M. C. Abdullah &amp; Hussin, 2010)", "manualFormatting" : "Abdullah &amp; Hussin ( 2010)", "plainTextFormattedCitation" : "(T. M. C. Abdullah &amp; Hussin, 2010)", "previouslyFormattedCitation" : "(T. M. C. Abdullah &amp; Hussin, 2010)" }, "properties" : { "noteIndex" : 0 }, "schema" : "https://github.com/citation-style-language/schema/raw/master/csl-citation.json" }</w:instrText>
      </w:r>
      <w:r w:rsidRPr="005C7FE5">
        <w:rPr>
          <w:rFonts w:ascii="Times New Roman" w:hAnsi="Times New Roman" w:cs="Times New Roman"/>
          <w:b/>
          <w:bCs/>
        </w:rPr>
        <w:fldChar w:fldCharType="separate"/>
      </w:r>
      <w:r w:rsidRPr="005C7FE5">
        <w:rPr>
          <w:rFonts w:ascii="Times New Roman" w:hAnsi="Times New Roman" w:cs="Times New Roman"/>
          <w:bCs/>
          <w:noProof/>
        </w:rPr>
        <w:t>Abdullah &amp; Hus</w:t>
      </w:r>
      <w:r w:rsidR="002E51CA">
        <w:rPr>
          <w:rFonts w:ascii="Times New Roman" w:hAnsi="Times New Roman" w:cs="Times New Roman"/>
          <w:bCs/>
          <w:noProof/>
        </w:rPr>
        <w:t>sin (</w:t>
      </w:r>
      <w:r w:rsidRPr="005C7FE5">
        <w:rPr>
          <w:rFonts w:ascii="Times New Roman" w:hAnsi="Times New Roman" w:cs="Times New Roman"/>
          <w:bCs/>
          <w:noProof/>
        </w:rPr>
        <w:t>2010)</w:t>
      </w:r>
      <w:r w:rsidRPr="005C7FE5">
        <w:rPr>
          <w:rFonts w:ascii="Times New Roman" w:hAnsi="Times New Roman" w:cs="Times New Roman"/>
          <w:b/>
          <w:bCs/>
        </w:rPr>
        <w:fldChar w:fldCharType="end"/>
      </w:r>
      <w:r w:rsidRPr="005C7FE5">
        <w:rPr>
          <w:rFonts w:ascii="Times New Roman" w:hAnsi="Times New Roman" w:cs="Times New Roman"/>
          <w:b/>
          <w:bCs/>
        </w:rPr>
        <w:t xml:space="preserve"> </w:t>
      </w:r>
      <w:r w:rsidRPr="005C7FE5">
        <w:rPr>
          <w:rFonts w:ascii="Times New Roman" w:hAnsi="Times New Roman" w:cs="Times New Roman"/>
        </w:rPr>
        <w:t>investigated the moderating effect of government assistance towards the improvement of business performance of turnaround companies. The study found that partial support in the moderating effect of government assistance and firm size and their influence in the relationship between strategy and successful turnaround. Therefore, the current study propose that FNC plays a positive role in the relationship between EO’s dimensions and C</w:t>
      </w:r>
      <w:r w:rsidR="002E51CA">
        <w:rPr>
          <w:rFonts w:ascii="Times New Roman" w:hAnsi="Times New Roman" w:cs="Times New Roman"/>
        </w:rPr>
        <w:t>M</w:t>
      </w:r>
      <w:r w:rsidRPr="005C7FE5">
        <w:rPr>
          <w:rFonts w:ascii="Times New Roman" w:hAnsi="Times New Roman" w:cs="Times New Roman"/>
        </w:rPr>
        <w:t>A. Thus, the following hypothesis is formulated:</w:t>
      </w:r>
    </w:p>
    <w:p w14:paraId="784034C6"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523586D7" w14:textId="77777777" w:rsidR="001D4CAB" w:rsidRPr="005C7FE5" w:rsidRDefault="001D4CAB" w:rsidP="001D4CAB">
      <w:pPr>
        <w:autoSpaceDE w:val="0"/>
        <w:autoSpaceDN w:val="0"/>
        <w:adjustRightInd w:val="0"/>
        <w:spacing w:after="0" w:line="240" w:lineRule="auto"/>
        <w:rPr>
          <w:rFonts w:ascii="Times New Roman" w:hAnsi="Times New Roman" w:cs="Times New Roman"/>
          <w:i/>
          <w:iCs/>
        </w:rPr>
      </w:pPr>
      <w:r w:rsidRPr="005C7FE5">
        <w:rPr>
          <w:rFonts w:ascii="Times New Roman" w:hAnsi="Times New Roman" w:cs="Times New Roman"/>
          <w:b/>
          <w:bCs/>
          <w:i/>
          <w:iCs/>
        </w:rPr>
        <w:t>H</w:t>
      </w:r>
      <w:r w:rsidRPr="005C7FE5">
        <w:rPr>
          <w:rFonts w:ascii="Times New Roman" w:hAnsi="Times New Roman" w:cs="Times New Roman"/>
          <w:b/>
          <w:bCs/>
          <w:i/>
          <w:iCs/>
          <w:vertAlign w:val="subscript"/>
        </w:rPr>
        <w:t>4:</w:t>
      </w:r>
      <w:r w:rsidRPr="005C7FE5">
        <w:rPr>
          <w:rFonts w:ascii="Times New Roman" w:hAnsi="Times New Roman" w:cs="Times New Roman"/>
          <w:i/>
          <w:iCs/>
        </w:rPr>
        <w:t xml:space="preserve">  Financing support has a moderating role between the EO’s dimensions (innovativeness, pro-activeness, and risk-taking,) and competitive advantage in SMEs in Iraq.</w:t>
      </w:r>
    </w:p>
    <w:p w14:paraId="36916700" w14:textId="77777777" w:rsidR="001D4CAB" w:rsidRPr="005C7FE5" w:rsidRDefault="001D4CAB" w:rsidP="001D4CAB">
      <w:pPr>
        <w:pStyle w:val="Heading1"/>
        <w:rPr>
          <w:color w:val="auto"/>
        </w:rPr>
      </w:pPr>
      <w:r w:rsidRPr="005C7FE5">
        <w:rPr>
          <w:color w:val="auto"/>
        </w:rPr>
        <w:t xml:space="preserve"> Methodology </w:t>
      </w:r>
    </w:p>
    <w:p w14:paraId="03292D04"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A quantitative approach was adopted in this study in which a cross-sectional survey was used. This design of the research was oriented towards observing the natural setting of the phenomenon under investigation and testing a number of hypotheses. The unit of analysis selected for this study was the organizational level particularly the owners or top management of SMEs. Random sampling was employed due to explanatory nature of this study.</w:t>
      </w:r>
    </w:p>
    <w:p w14:paraId="5DB0A6E7" w14:textId="77777777" w:rsidR="001D4CAB" w:rsidRPr="005C7FE5" w:rsidRDefault="001D4CAB" w:rsidP="001D4CAB">
      <w:pPr>
        <w:autoSpaceDE w:val="0"/>
        <w:autoSpaceDN w:val="0"/>
        <w:adjustRightInd w:val="0"/>
        <w:spacing w:after="0"/>
        <w:rPr>
          <w:rFonts w:ascii="Times New Roman" w:hAnsi="Times New Roman" w:cs="Times New Roman"/>
        </w:rPr>
      </w:pPr>
    </w:p>
    <w:p w14:paraId="5CFFCB74" w14:textId="77777777" w:rsidR="001D4CAB" w:rsidRPr="005C7FE5" w:rsidRDefault="001D4CAB" w:rsidP="001D4CAB">
      <w:pPr>
        <w:pStyle w:val="Heading2"/>
        <w:rPr>
          <w:color w:val="auto"/>
        </w:rPr>
      </w:pPr>
      <w:r w:rsidRPr="005C7FE5">
        <w:rPr>
          <w:color w:val="auto"/>
        </w:rPr>
        <w:t xml:space="preserve"> Measurement and Instrumentation</w:t>
      </w:r>
    </w:p>
    <w:p w14:paraId="5C2D0252" w14:textId="54ED74B2" w:rsidR="001D4CAB" w:rsidRPr="005C7FE5" w:rsidRDefault="001D4CAB" w:rsidP="002E51CA">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The researchers developed an English-language questionnaire translated it into Kurdish language by a team of three researchers of different majors. All the items in the questionnaire were measured on a five point </w:t>
      </w:r>
      <w:proofErr w:type="spellStart"/>
      <w:r w:rsidRPr="005C7FE5">
        <w:rPr>
          <w:rFonts w:ascii="Times New Roman" w:hAnsi="Times New Roman" w:cs="Times New Roman"/>
        </w:rPr>
        <w:t>Likert</w:t>
      </w:r>
      <w:proofErr w:type="spellEnd"/>
      <w:r w:rsidRPr="005C7FE5">
        <w:rPr>
          <w:rFonts w:ascii="Times New Roman" w:hAnsi="Times New Roman" w:cs="Times New Roman"/>
        </w:rPr>
        <w:t xml:space="preserve"> scale ranging from ‘strongly disagree ’to ‘strongly agree’. All of these items were adapted from the existing literature. The current study includes three main variables, namely: entrepreneurial orientation (EO) as the independent variable, competitive advantage (C</w:t>
      </w:r>
      <w:r w:rsidR="002E51CA">
        <w:rPr>
          <w:rFonts w:ascii="Times New Roman" w:hAnsi="Times New Roman" w:cs="Times New Roman"/>
        </w:rPr>
        <w:t>M</w:t>
      </w:r>
      <w:r w:rsidRPr="005C7FE5">
        <w:rPr>
          <w:rFonts w:ascii="Times New Roman" w:hAnsi="Times New Roman" w:cs="Times New Roman"/>
        </w:rPr>
        <w:t>A) as the dependent variable, and government Financial support (F</w:t>
      </w:r>
      <w:r w:rsidR="002E51CA">
        <w:rPr>
          <w:rFonts w:ascii="Times New Roman" w:hAnsi="Times New Roman" w:cs="Times New Roman"/>
        </w:rPr>
        <w:t>NC</w:t>
      </w:r>
      <w:r w:rsidRPr="005C7FE5">
        <w:rPr>
          <w:rFonts w:ascii="Times New Roman" w:hAnsi="Times New Roman" w:cs="Times New Roman"/>
        </w:rPr>
        <w:t xml:space="preserve">) as a moderating variable. In this study, variable measurements have been selected from the existing scales in the literature. In addition, some of the items presented in this study are taken from the original source and changes are done according to the purpose of this study. </w:t>
      </w:r>
    </w:p>
    <w:p w14:paraId="45BEF42E" w14:textId="77777777" w:rsidR="001D4CAB" w:rsidRPr="005C7FE5" w:rsidRDefault="001D4CAB" w:rsidP="001D4CAB">
      <w:pPr>
        <w:spacing w:line="240" w:lineRule="auto"/>
        <w:rPr>
          <w:rFonts w:ascii="Times New Roman" w:hAnsi="Times New Roman" w:cs="Times New Roman"/>
        </w:rPr>
      </w:pPr>
    </w:p>
    <w:p w14:paraId="49AA743C"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 xml:space="preserve">The items that used to measure EO’s dimensions (innovativeness, pro-activeness and risk-taking) were adapted from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"Miller", "given" : "D.", "non-dropping-particle" : "", "parse-names" : false, "suffix" : "" } ], "container-title" : "Management Science", "id" : "ITEM-1", "issue" : "7", "issued" : { "date-parts" : [ [ "1983" ] ] }, "page" : "770-791", "title" : "The Correlates of Entrepreneurship in Three Types of Firms", "type" : "article-journal", "volume" : "29" }, "uris" : [ "http://www.mendeley.com/documents/?uuid=cfc9bf74-3016-4a33-8721-c4ad94f6ad19" ] } ], "mendeley" : { "formattedCitation" : "(Miller, 1983)", "manualFormatting" : "Miller  (1983)", "plainTextFormattedCitation" : "(Miller, 1983)", "previouslyFormattedCitation" : "(Miller, 1983)"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Miller  (1983)</w:t>
      </w:r>
      <w:r w:rsidRPr="005C7FE5">
        <w:rPr>
          <w:rFonts w:ascii="Times New Roman" w:hAnsi="Times New Roman" w:cs="Times New Roman"/>
        </w:rPr>
        <w:fldChar w:fldCharType="end"/>
      </w:r>
      <w:r w:rsidRPr="005C7FE5">
        <w:rPr>
          <w:rFonts w:ascii="Times New Roman" w:hAnsi="Times New Roman" w:cs="Times New Roman"/>
        </w:rPr>
        <w:t xml:space="preserve">, the measurement of these items in turn, were used by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"Covin", "given" : "Jeffrey G", "non-dropping-particle" : "", "parse-names" : false, "suffix" : "" }, { "dropping-particle" : "", "family" : "Slevin", "given" : "Dennis P", "non-dropping-particle" : "", "parse-names" : false, "suffix" : "" } ], "container-title" : "Strategic management journal", "id" : "ITEM-1", "issue" : "March 1987", "issued" : { "date-parts" : [ [ "1989" ] ] }, "page" : "75-87", "title" : "Strategic Management of Small Firms in Hostile and Benign Environments", "type" : "article-journal", "volume" : "10" }, "uris" : [ "http://www.mendeley.com/documents/?uuid=683fc35f-21f5-4fbd-b751-e42ca5ea3fdd" ] } ], "mendeley" : { "formattedCitation" : "(J. G. Covin &amp; Slevin, 1989)", "manualFormatting" : "(Covin and Slevin, 1989", "plainTextFormattedCitation" : "(J. G. Covin &amp; Slevin, 1989)", "previouslyFormattedCitation" : "(J. G. Covin &amp; Slevin, 1989)"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(Covin and Slevin, 1989</w:t>
      </w:r>
      <w:r w:rsidRPr="005C7FE5">
        <w:rPr>
          <w:rFonts w:ascii="Times New Roman" w:hAnsi="Times New Roman" w:cs="Times New Roman"/>
        </w:rPr>
        <w:fldChar w:fldCharType="end"/>
      </w:r>
      <w:r w:rsidRPr="005C7FE5">
        <w:rPr>
          <w:rFonts w:ascii="Times New Roman" w:hAnsi="Times New Roman" w:cs="Times New Roman"/>
        </w:rPr>
        <w:t xml:space="preserv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"DOI" : "10.1080/08276331.2014.892308", "ISBN" : "08276331", "ISSN" : "0827-6331", "PMID" : "1455008", "author" : [ { "dropping-particle" : "", "family" : "Alarape", "given" : "A. A.", "non-dropping-particle" : "", "parse-names" : false, "suffix" : "" } ], "container-title" : "Journal of Small Business &amp; Entrepreneurship", "id" : "ITEM-1", "issued" : { "date-parts" : [ [ "2013" ] ] }, "page" : "553-577", "title" : "Entrepreneurial orientation and the growth performance of small and medium enterprises in Southwestern Nigeria", "type" : "article-journal", "volume" : "26" }, "uris" : [ "http://www.mendeley.com/documents/?uuid=f56d8965-3bda-4854-873e-a8cbfb282030" ] } ], "mendeley" : { "formattedCitation" : "(Alarape, 2013)", "manualFormatting" : "Alarape, 2013", "plainTextFormattedCitation" : "(Alarape, 2013)", "previouslyFormattedCitation" : "(Alarape, 2013)"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Alarape, 2013</w:t>
      </w:r>
      <w:r w:rsidRPr="005C7FE5">
        <w:rPr>
          <w:rFonts w:ascii="Times New Roman" w:hAnsi="Times New Roman" w:cs="Times New Roman"/>
        </w:rPr>
        <w:fldChar w:fldCharType="end"/>
      </w:r>
      <w:r w:rsidRPr="005C7FE5">
        <w:rPr>
          <w:rFonts w:ascii="Times New Roman" w:hAnsi="Times New Roman" w:cs="Times New Roman"/>
        </w:rPr>
        <w:t xml:space="preserve">;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"DOI" : "10.1111/j.1540-6520.2008.00280.x", "ISSN" : "10422587", "author" : [ { "dropping-particle" : "", "family" : "Lumpkin", "given" : "G.T.", "non-dropping-particle" : "", "parse-names" : false, "suffix" : "" }, { "dropping-particle" : "", "family" : "Cogliser", "given" : "Claudia C", "non-dropping-particle" : "", "parse-names" : false, "suffix" : "" }, { "dropping-particle" : "", "family" : "Schneider", "given" : "Dawn R", "non-dropping-particle" : "", "parse-names" : false, "suffix" : "" } ], "container-title" : "Seizure", "id" : "ITEM-1", "issue" : "806", "issued" : { "date-parts" : [ [ "2009" ] ] }, "page" : "47-70", "title" : "Understanding and Measuring Autonomy: An Entrepreneurial Orientation Perspective", "type" : "article-journal", "volume" : "14" }, "uris" : [ "http://www.mendeley.com/documents/?uuid=4706dc70-996a-44f3-8f6c-9a5eda939f72" ] } ], "mendeley" : { "formattedCitation" : "(Lumpkin, Cogliser, &amp; Schneider, 2009)", "manualFormatting" : "Lumpkin, Cogliser, and Schneider, 2009", "plainTextFormattedCitation" : "(Lumpkin, Cogliser, &amp; Schneider, 2009)", "previouslyFormattedCitation" : "(Lumpkin, Cogliser, &amp; Schneider, 2009)"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Lumpkin, Cogliser, and Schneider, 2009</w:t>
      </w:r>
      <w:r w:rsidRPr="005C7FE5">
        <w:rPr>
          <w:rFonts w:ascii="Times New Roman" w:hAnsi="Times New Roman" w:cs="Times New Roman"/>
        </w:rPr>
        <w:fldChar w:fldCharType="end"/>
      </w:r>
      <w:r w:rsidRPr="005C7FE5">
        <w:rPr>
          <w:rFonts w:ascii="Times New Roman" w:hAnsi="Times New Roman" w:cs="Times New Roman"/>
        </w:rPr>
        <w:t xml:space="preserve">; and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"Yusof", "given" : "Mohar", "non-dropping-particle" : "", "parse-names" : false, "suffix" : "" } ], "container-title" : "International Journal of Entrepreneurship and Innovation Management", "id" : "ITEM-1", "issued" : { "date-parts" : [ [ "2009" ] ] }, "title" : "Entrepreneurial Leadership and Academic Entrepreneurship in Malaysian Public Research Universities", "type" : "article-journal" }, "uris" : [ "http://www.mendeley.com/documents/?uuid=4bb6c514-c5ef-402b-a9e5-da70df6aa40c" ] } ], "mendeley" : { "formattedCitation" : "(Yusof, 2009)", "manualFormatting" : "Yusof, 2009)", "plainTextFormattedCitation" : "(Yusof, 2009)", "previouslyFormattedCitation" : "(Yusof, 2009)"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Yusof, 2009)</w:t>
      </w:r>
      <w:r w:rsidRPr="005C7FE5">
        <w:rPr>
          <w:rFonts w:ascii="Times New Roman" w:hAnsi="Times New Roman" w:cs="Times New Roman"/>
        </w:rPr>
        <w:fldChar w:fldCharType="end"/>
      </w:r>
      <w:r w:rsidRPr="005C7FE5">
        <w:rPr>
          <w:rFonts w:ascii="Times New Roman" w:hAnsi="Times New Roman" w:cs="Times New Roman"/>
        </w:rPr>
        <w:t xml:space="preserve">. There are 5 items that measure innovativeness, 6 items that measure pro-activeness and other 6 items for measuring risk-taking. </w:t>
      </w:r>
    </w:p>
    <w:p w14:paraId="687AA4C6" w14:textId="55809C6C" w:rsidR="001D4CAB" w:rsidRPr="005C7FE5" w:rsidRDefault="001D4CAB" w:rsidP="002E51CA">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lastRenderedPageBreak/>
        <w:t xml:space="preserve">For measuring the dependent variable, this study operationalized competitive advantage as the result of a process of strategy formulation adopted by a firm with the purpose of providing added value through market differentiation and cost advantage to customers resulting in an advantageous position to the firm over their competitors for a period of time. The competitive advantage construct includes the dimensions of lower cost and market differentiation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"Ong", "given" : "Jeen Wei", "non-dropping-particle" : "", "parse-names" : false, "suffix" : "" }, { "dropping-particle" : "Bin", "family" : "Ismail", "given" : "Hishamuddin", "non-dropping-particle" : "", "parse-names" : false, "suffix" : "" }, { "dropping-particle" : "", "family" : "Goh", "given" : "Gerald Guan Gan", "non-dropping-particle" : "", "parse-names" : false, "suffix" : "" } ], "container-title" : "Journal of Small Business &amp; Entrepreneurship", "id" : "ITEM-1", "issue" : "November 2014", "issued" : { "date-parts" : [ [ "2010" ] ] }, "page" : "373-391", "title" : "The Competitive Advantage of Small and Medium Enterprises (SMEs): The Role of Entrepreneurship and Luck", "type" : "article-journal", "volume" : "23" }, "uris" : [ "http://www.mendeley.com/documents/?uuid=d0d77799-95c9-4b65-bc93-70f3bb1547cb" ] }, { "id" : "ITEM-2", "itemData" : { "author" : [ { "dropping-particle" : "", "family" : "Lechner", "given" : "C.", "non-dropping-particle" : "", "parse-names" : false, "suffix" : "" }, { "dropping-particle" : "V.", "family" : "Gudmundsson", "given" : "S.", "non-dropping-particle" : "", "parse-names" : false, "suffix" : "" } ], "container-title" : "International Small Business Journal", "id" : "ITEM-2", "issue" : "1", "issued" : { "date-parts" : [ [ "2014" ] ] }, "page" : "36-60", "title" : "Entrepreneurial orientation, firm strategy and small firm performance", "type" : "article-journal", "volume" : "32" }, "uris" : [ "http://www.mendeley.com/documents/?uuid=bfe257c8-b3a3-489b-a94e-257e62663ed7" ] } ], "mendeley" : { "formattedCitation" : "(Lechner &amp; Gudmundsson, 2014; Ong et al., 2010)", "plainTextFormattedCitation" : "(Lechner &amp; Gudmundsson, 2014; Ong et al., 2010)", "previouslyFormattedCitation" : "(Lechner &amp; Gudmundsson, 2014; Ong et al., 2010)"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(Lechner &amp; Gudmundsson, 2014; Ong et al., 2010)</w:t>
      </w:r>
      <w:r w:rsidRPr="005C7FE5">
        <w:rPr>
          <w:rFonts w:ascii="Times New Roman" w:hAnsi="Times New Roman" w:cs="Times New Roman"/>
        </w:rPr>
        <w:fldChar w:fldCharType="end"/>
      </w:r>
      <w:r w:rsidRPr="005C7FE5">
        <w:rPr>
          <w:rFonts w:ascii="Times New Roman" w:hAnsi="Times New Roman" w:cs="Times New Roman"/>
        </w:rPr>
        <w:t xml:space="preserve">. This study has used </w:t>
      </w:r>
      <w:r w:rsidR="002E51CA">
        <w:rPr>
          <w:rFonts w:ascii="Times New Roman" w:hAnsi="Times New Roman" w:cs="Times New Roman"/>
        </w:rPr>
        <w:t>(</w:t>
      </w:r>
      <w:r w:rsidRPr="005C7FE5">
        <w:rPr>
          <w:rFonts w:ascii="Times New Roman" w:hAnsi="Times New Roman" w:cs="Times New Roman"/>
        </w:rPr>
        <w:t>16</w:t>
      </w:r>
      <w:r w:rsidR="002E51CA">
        <w:rPr>
          <w:rFonts w:ascii="Times New Roman" w:hAnsi="Times New Roman" w:cs="Times New Roman"/>
        </w:rPr>
        <w:t>)</w:t>
      </w:r>
      <w:r w:rsidRPr="005C7FE5">
        <w:rPr>
          <w:rFonts w:ascii="Times New Roman" w:hAnsi="Times New Roman" w:cs="Times New Roman"/>
        </w:rPr>
        <w:t xml:space="preserve"> items to measure the dependent variable. These items have been divided across market differentiation and cost advantages. Market differentiation had been measured </w:t>
      </w:r>
      <w:r w:rsidR="002E51CA">
        <w:rPr>
          <w:rFonts w:ascii="Times New Roman" w:hAnsi="Times New Roman" w:cs="Times New Roman"/>
        </w:rPr>
        <w:t>by (</w:t>
      </w:r>
      <w:r w:rsidRPr="005C7FE5">
        <w:rPr>
          <w:rFonts w:ascii="Times New Roman" w:hAnsi="Times New Roman" w:cs="Times New Roman"/>
        </w:rPr>
        <w:t>8</w:t>
      </w:r>
      <w:r w:rsidR="002E51CA">
        <w:rPr>
          <w:rFonts w:ascii="Times New Roman" w:hAnsi="Times New Roman" w:cs="Times New Roman"/>
        </w:rPr>
        <w:t>)</w:t>
      </w:r>
      <w:r w:rsidRPr="005C7FE5">
        <w:rPr>
          <w:rFonts w:ascii="Times New Roman" w:hAnsi="Times New Roman" w:cs="Times New Roman"/>
        </w:rPr>
        <w:t xml:space="preserve"> items and cost advantage </w:t>
      </w:r>
      <w:r w:rsidR="002E51CA">
        <w:rPr>
          <w:rFonts w:ascii="Times New Roman" w:hAnsi="Times New Roman" w:cs="Times New Roman"/>
        </w:rPr>
        <w:t xml:space="preserve">also </w:t>
      </w:r>
      <w:r w:rsidRPr="005C7FE5">
        <w:rPr>
          <w:rFonts w:ascii="Times New Roman" w:hAnsi="Times New Roman" w:cs="Times New Roman"/>
        </w:rPr>
        <w:t xml:space="preserve">measured by </w:t>
      </w:r>
      <w:r w:rsidR="002E51CA">
        <w:rPr>
          <w:rFonts w:ascii="Times New Roman" w:hAnsi="Times New Roman" w:cs="Times New Roman"/>
        </w:rPr>
        <w:t>(</w:t>
      </w:r>
      <w:r w:rsidRPr="005C7FE5">
        <w:rPr>
          <w:rFonts w:ascii="Times New Roman" w:hAnsi="Times New Roman" w:cs="Times New Roman"/>
        </w:rPr>
        <w:t>8</w:t>
      </w:r>
      <w:r w:rsidR="002E51CA">
        <w:rPr>
          <w:rFonts w:ascii="Times New Roman" w:hAnsi="Times New Roman" w:cs="Times New Roman"/>
        </w:rPr>
        <w:t>)</w:t>
      </w:r>
      <w:r w:rsidRPr="005C7FE5">
        <w:rPr>
          <w:rFonts w:ascii="Times New Roman" w:hAnsi="Times New Roman" w:cs="Times New Roman"/>
        </w:rPr>
        <w:t xml:space="preserve"> items. The items have been adapted from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"Aljubouri", "given" : "A. H . O.", "non-dropping-particle" : "", "parse-names" : false, "suffix" : "" } ], "id" : "ITEM-1", "issued" : { "date-parts" : [ [ "2005" ] ] }, "publisher" : "University of Mousl", "title" : "The impact of competitive strategies in consolidation strategic performance", "type" : "thesis" }, "uris" : [ "http://www.mendeley.com/documents/?uuid=45ebb4ff-2585-4f1f-9d1d-bcd5112c08b5" ] } ], "mendeley" : { "formattedCitation" : "(Aljubouri, 2005)", "manualFormatting" : "Aljubouri (2005)", "plainTextFormattedCitation" : "(Aljubouri, 2005)", "previouslyFormattedCitation" : "(Aljubouri, 2005)"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Aljubouri (2005)</w:t>
      </w:r>
      <w:r w:rsidRPr="005C7FE5">
        <w:rPr>
          <w:rFonts w:ascii="Times New Roman" w:hAnsi="Times New Roman" w:cs="Times New Roman"/>
        </w:rPr>
        <w:fldChar w:fldCharType="end"/>
      </w:r>
      <w:r w:rsidR="002E51CA">
        <w:rPr>
          <w:rFonts w:ascii="Times New Roman" w:hAnsi="Times New Roman" w:cs="Times New Roman"/>
        </w:rPr>
        <w:t xml:space="preserve"> </w:t>
      </w:r>
      <w:r w:rsidRPr="005C7FE5">
        <w:rPr>
          <w:rFonts w:ascii="Times New Roman" w:hAnsi="Times New Roman" w:cs="Times New Roman"/>
        </w:rPr>
        <w:t xml:space="preserve">because  that study had been conducted in Iraqi environment. The current study also adapted three items from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"Li", "given" : "Julie Juan", "non-dropping-particle" : "", "parse-names" : false, "suffix" : "" }, { "dropping-particle" : "", "family" : "Zhou", "given" : "Kevin Zheng", "non-dropping-particle" : "", "parse-names" : false, "suffix" : "" } ], "container-title" : "Journal of Business Research", "id" : "ITEM-1", "issue" : "8", "issued" : { "date-parts" : [ [ "2010" ] ] }, "page" : "856-862", "publisher" : "Elsevier Inc.", "title" : "How foreign firms achieve competitive advantage in the Chinese emerging economy: Managerial ties and market orientation", "type" : "article-journal", "volume" : "63" }, "uris" : [ "http://www.mendeley.com/documents/?uuid=f97ff0f1-565d-4273-a83b-69d342f2639d" ] } ], "mendeley" : { "formattedCitation" : "(J. J. Li &amp; Zhou, 2010)", "manualFormatting" : "Li and Zhou (2010)", "plainTextFormattedCitation" : "(J. J. Li &amp; Zhou, 2010)", "previouslyFormattedCitation" : "(J. J. Li &amp; Zhou, 2010)"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Li and Zhou (2010)</w:t>
      </w:r>
      <w:r w:rsidRPr="005C7FE5">
        <w:rPr>
          <w:rFonts w:ascii="Times New Roman" w:hAnsi="Times New Roman" w:cs="Times New Roman"/>
        </w:rPr>
        <w:fldChar w:fldCharType="end"/>
      </w:r>
      <w:r w:rsidRPr="005C7FE5">
        <w:rPr>
          <w:rFonts w:ascii="Times New Roman" w:hAnsi="Times New Roman" w:cs="Times New Roman"/>
        </w:rPr>
        <w:t xml:space="preserve"> </w:t>
      </w:r>
      <w:r w:rsidR="002E51CA">
        <w:rPr>
          <w:rFonts w:ascii="Times New Roman" w:hAnsi="Times New Roman" w:cs="Times New Roman"/>
        </w:rPr>
        <w:t xml:space="preserve">to </w:t>
      </w:r>
      <w:r w:rsidRPr="005C7FE5">
        <w:rPr>
          <w:rFonts w:ascii="Times New Roman" w:hAnsi="Times New Roman" w:cs="Times New Roman"/>
        </w:rPr>
        <w:t>market differentiation and three other ite</w:t>
      </w:r>
      <w:r w:rsidR="002E51CA">
        <w:rPr>
          <w:rFonts w:ascii="Times New Roman" w:hAnsi="Times New Roman" w:cs="Times New Roman"/>
        </w:rPr>
        <w:t>ms for measuring cost advantage.</w:t>
      </w:r>
      <w:r w:rsidRPr="005C7FE5">
        <w:rPr>
          <w:rFonts w:ascii="Times New Roman" w:hAnsi="Times New Roman" w:cs="Times New Roman"/>
        </w:rPr>
        <w:t xml:space="preserve"> </w:t>
      </w:r>
    </w:p>
    <w:p w14:paraId="44104035"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3E7C09E5" w14:textId="7E47601B" w:rsidR="001D4CAB" w:rsidRPr="005C7FE5" w:rsidRDefault="001D4CAB" w:rsidP="0050177F">
      <w:pPr>
        <w:pStyle w:val="ListParagraph"/>
        <w:spacing w:after="0" w:line="240" w:lineRule="auto"/>
        <w:ind w:left="0"/>
        <w:rPr>
          <w:rFonts w:ascii="Times New Roman" w:hAnsi="Times New Roman" w:cs="Times New Roman"/>
        </w:rPr>
      </w:pPr>
      <w:r w:rsidRPr="005C7FE5">
        <w:rPr>
          <w:rFonts w:ascii="Times New Roman" w:hAnsi="Times New Roman" w:cs="Times New Roman"/>
        </w:rPr>
        <w:t>Regarding financial support (F</w:t>
      </w:r>
      <w:r w:rsidR="002E51CA">
        <w:rPr>
          <w:rFonts w:ascii="Times New Roman" w:hAnsi="Times New Roman" w:cs="Times New Roman"/>
        </w:rPr>
        <w:t>NC</w:t>
      </w:r>
      <w:r w:rsidRPr="005C7FE5">
        <w:rPr>
          <w:rFonts w:ascii="Times New Roman" w:hAnsi="Times New Roman" w:cs="Times New Roman"/>
        </w:rPr>
        <w:t>) is operationalized as</w:t>
      </w:r>
      <w:r w:rsidRPr="005C7FE5">
        <w:rPr>
          <w:rFonts w:ascii="Times New Roman" w:hAnsi="Times New Roman" w:cs="Times New Roman"/>
          <w:b/>
          <w:bCs/>
        </w:rPr>
        <w:t xml:space="preserve"> </w:t>
      </w:r>
      <w:r w:rsidRPr="005C7FE5">
        <w:rPr>
          <w:rFonts w:ascii="Times New Roman" w:hAnsi="Times New Roman" w:cs="Times New Roman"/>
          <w:lang w:bidi="ar-IQ"/>
        </w:rPr>
        <w:t xml:space="preserve">the condition in which government has the ability to assist  SMEs in order to enable them be more competitive locally and globally through providing proper financing support </w:t>
      </w:r>
      <w:r w:rsidRPr="005C7FE5">
        <w:rPr>
          <w:rFonts w:ascii="Times New Roman" w:hAnsi="Times New Roman" w:cs="Times New Roman"/>
          <w:lang w:bidi="ar-IQ"/>
        </w:rPr>
        <w:fldChar w:fldCharType="begin" w:fldLock="1"/>
      </w:r>
      <w:r w:rsidRPr="005C7FE5">
        <w:rPr>
          <w:rFonts w:ascii="Times New Roman" w:hAnsi="Times New Roman" w:cs="Times New Roman"/>
          <w:lang w:bidi="ar-IQ"/>
        </w:rPr>
        <w:instrText>ADDIN CSL_CITATION { "citationItems" : [ { "id" : "ITEM-1", "itemData" : { "author" : [ { "dropping-particle" : "", "family" : "Abdullah", "given" : "Moha Asri", "non-dropping-particle" : "", "parse-names" : false, "suffix" : "" } ], "container-title" : "Cities", "id" : "ITEM-1", "issue" : "2", "issued" : { "date-parts" : [ [ "1999", "4" ] ] }, "page" : "83-92", "title" : "The accessibility of the government-sponsored support programmes for small and medium-sized enterprises in Penang", "type" : "article-journal", "volume" : "16" }, "uris" : [ "http://www.mendeley.com/documents/?uuid=cb8ca7f7-5cdc-4e81-81e3-8b265c77cb9f" ] }, { "id" : "ITEM-2", "itemData" : { "author" : [ { "dropping-particle" : "", "family" : "Al-Hyari", "given" : "K.", "non-dropping-particle" : "", "parse-names" : false, "suffix" : "" } ], "container-title" : "International Journal of Business and Management", "id" : "ITEM-2", "issue" : "24", "issued" : { "date-parts" : [ [ "2013" ] ] }, "page" : "132-141", "title" : "Identification of barrier factors and potential solutions to SMEs development among Jordanian manufacturing sector", "type" : "article-journal", "volume" : "8" }, "uris" : [ "http://www.mendeley.com/documents/?uuid=944fc7e3-1fdf-4790-86d8-ccd4e3103ca0" ] }, { "id" : "ITEM-3", "itemData" : { "author" : [ { "dropping-particle" : "", "family" : "Shariff", "given" : "Mohd Noor Mohd", "non-dropping-particle" : "", "parse-names" : false, "suffix" : "" }, { "dropping-particle" : "", "family" : "Peou", "given" : "Chea", "non-dropping-particle" : "", "parse-names" : false, "suffix" : "" }, { "dropping-particle" : "", "family" : "Ali", "given" : "Juhary", "non-dropping-particle" : "", "parse-names" : false, "suffix" : "" } ], "container-title" : "International Journal of \u2026", "id" : "ITEM-3", "issue" : "1", "issued" : { "date-parts" : [ [ "2010" ] ] }, "page" : "57-72", "title" : "Moderating effect of government policy on entrepreneurship and growth performance of small-medium enterprises in Cambodia", "type" : "article-journal", "volume" : "3" }, "uris" : [ "http://www.mendeley.com/documents/?uuid=f84b219c-83ed-438d-b3ca-6a0ddf2197f0" ] }, { "id" : "ITEM-4", "itemData" : { "author" : [ { "dropping-particle" : "", "family" : "Gisip", "given" : "IA", "non-dropping-particle" : "", "parse-names" : false, "suffix" : "" }, { "dropping-particle" : "", "family" : "Harun", "given" : "HAH", "non-dropping-particle" : "", "parse-names" : false, "suffix" : "" } ], "container-title" : "Scottish Journal of Arts, Social Sciences and Scientific Studies", "id" : "ITEM-4", "issue" : "2", "issued" : { "date-parts" : [ [ "2013" ] ] }, "page" : "9-18", "title" : "An Assessment of Government Support Programs in the Development of SMEs in Malaysia: Issues and Challenges", "type" : "article-journal", "volume" : "8" }, "uris" : [ "http://www.mendeley.com/documents/?uuid=32ee0bd9-7a18-4004-95b6-489bbe95fe77" ] } ], "mendeley" : { "formattedCitation" : "(M. A. Abdullah, 1999; Al-Hyari, 2013; Gisip &amp; Harun, 2013; M. N. M. Shariff, Peou, &amp; Ali, 2010)", "manualFormatting" : "( Abdullah, 1999; Al-Hyari, 2013; Gisip &amp; Harun, 2013; Shariff, Peou, &amp; Ali, 2010)", "plainTextFormattedCitation" : "(M. A. Abdullah, 1999; Al-Hyari, 2013; Gisip &amp; Harun, 2013; M. N. M. Shariff, Peou, &amp; Ali, 2010)", "previouslyFormattedCitation" : "(M. A. Abdullah, 1999; Al-Hyari, 2013; Gisip &amp; Harun, 2013; M. N. M. Shariff, Peou, &amp; Ali, 2010)" }, "properties" : { "noteIndex" : 0 }, "schema" : "https://github.com/citation-style-language/schema/raw/master/csl-citation.json" }</w:instrText>
      </w:r>
      <w:r w:rsidRPr="005C7FE5">
        <w:rPr>
          <w:rFonts w:ascii="Times New Roman" w:hAnsi="Times New Roman" w:cs="Times New Roman"/>
          <w:lang w:bidi="ar-IQ"/>
        </w:rPr>
        <w:fldChar w:fldCharType="separate"/>
      </w:r>
      <w:r w:rsidRPr="005C7FE5">
        <w:rPr>
          <w:rFonts w:ascii="Times New Roman" w:hAnsi="Times New Roman" w:cs="Times New Roman"/>
          <w:noProof/>
          <w:lang w:bidi="ar-IQ"/>
        </w:rPr>
        <w:t>( Abdullah, 1999; Al-Hyari, 2013; Gisip &amp; Harun, 2013; Shariff, Peou, &amp; Ali, 2010)</w:t>
      </w:r>
      <w:r w:rsidRPr="005C7FE5">
        <w:rPr>
          <w:rFonts w:ascii="Times New Roman" w:hAnsi="Times New Roman" w:cs="Times New Roman"/>
          <w:lang w:bidi="ar-IQ"/>
        </w:rPr>
        <w:fldChar w:fldCharType="end"/>
      </w:r>
      <w:r w:rsidRPr="005C7FE5">
        <w:rPr>
          <w:rFonts w:ascii="Times New Roman" w:hAnsi="Times New Roman" w:cs="Times New Roman"/>
          <w:lang w:bidi="ar-IQ"/>
        </w:rPr>
        <w:t xml:space="preserve">. </w:t>
      </w:r>
      <w:r w:rsidR="0050177F" w:rsidRPr="003175A1">
        <w:rPr>
          <w:rFonts w:cstheme="majorBidi"/>
          <w:sz w:val="24"/>
          <w:szCs w:val="24"/>
        </w:rPr>
        <w:t xml:space="preserve">Items </w:t>
      </w:r>
      <w:r w:rsidR="0050177F">
        <w:rPr>
          <w:rFonts w:cstheme="majorBidi"/>
          <w:sz w:val="24"/>
          <w:szCs w:val="24"/>
        </w:rPr>
        <w:t xml:space="preserve">has been adapted </w:t>
      </w:r>
      <w:r w:rsidR="0050177F" w:rsidRPr="003175A1">
        <w:rPr>
          <w:rFonts w:cstheme="majorBidi"/>
          <w:sz w:val="24"/>
          <w:szCs w:val="24"/>
        </w:rPr>
        <w:t xml:space="preserve">from </w:t>
      </w:r>
      <w:r w:rsidR="0050177F" w:rsidRPr="003175A1">
        <w:rPr>
          <w:rFonts w:cstheme="majorBidi"/>
          <w:sz w:val="24"/>
          <w:szCs w:val="24"/>
        </w:rPr>
        <w:fldChar w:fldCharType="begin" w:fldLock="1"/>
      </w:r>
      <w:r w:rsidR="0050177F" w:rsidRPr="003175A1">
        <w:rPr>
          <w:rFonts w:cstheme="majorBidi"/>
          <w:sz w:val="24"/>
          <w:szCs w:val="24"/>
        </w:rPr>
        <w:instrText>ADDIN CSL_CITATION { "citationItems" : [ { "id" : "ITEM-1", "itemData" : { "DOI" : "10.1177/097152310701400205", "ISSN" : "0971-5231", "author" : [ { "dropping-particle" : "", "family" : "Moktan", "given" : "S.", "non-dropping-particle" : "", "parse-names" : false, "suffix" : "" } ], "container-title" : "South Asian Survey", "id" : "ITEM-1", "issue" : "2", "issued" : { "date-parts" : [ [ "2007", "12", "1" ] ] }, "page" : "251-282", "title" : "Development of Small and Medium Enterprises in Bhutan: Analysing Constraints to Growth", "type" : "article-journal", "volume" : "14" }, "uris" : [ "http://www.mendeley.com/documents/?uuid=e4947a42-db43-452e-ab44-ce2026b0d211" ] } ], "mendeley" : { "formattedCitation" : "(Moktan, 2007)", "manualFormatting" : "Moktan (2007)", "plainTextFormattedCitation" : "(Moktan, 2007)", "previouslyFormattedCitation" : "(Moktan, 2007)" }, "properties" : { "noteIndex" : 0 }, "schema" : "https://github.com/citation-style-language/schema/raw/master/csl-citation.json" }</w:instrText>
      </w:r>
      <w:r w:rsidR="0050177F" w:rsidRPr="003175A1">
        <w:rPr>
          <w:rFonts w:cstheme="majorBidi"/>
          <w:sz w:val="24"/>
          <w:szCs w:val="24"/>
        </w:rPr>
        <w:fldChar w:fldCharType="separate"/>
      </w:r>
      <w:r w:rsidR="0050177F" w:rsidRPr="003175A1">
        <w:rPr>
          <w:rFonts w:cstheme="majorBidi"/>
          <w:noProof/>
          <w:sz w:val="24"/>
          <w:szCs w:val="24"/>
        </w:rPr>
        <w:t>Moktan (2007)</w:t>
      </w:r>
      <w:r w:rsidR="0050177F" w:rsidRPr="003175A1">
        <w:rPr>
          <w:rFonts w:cstheme="majorBidi"/>
          <w:sz w:val="24"/>
          <w:szCs w:val="24"/>
        </w:rPr>
        <w:fldChar w:fldCharType="end"/>
      </w:r>
      <w:r w:rsidR="0050177F" w:rsidRPr="003175A1">
        <w:rPr>
          <w:rFonts w:cstheme="majorBidi"/>
          <w:sz w:val="24"/>
          <w:szCs w:val="24"/>
        </w:rPr>
        <w:t xml:space="preserve"> and (2) items have been added by the researcher.</w:t>
      </w:r>
    </w:p>
    <w:p w14:paraId="37946B76" w14:textId="77777777" w:rsidR="001D4CAB" w:rsidRPr="005C7FE5" w:rsidRDefault="001D4CAB" w:rsidP="001D4CAB">
      <w:pPr>
        <w:autoSpaceDE w:val="0"/>
        <w:autoSpaceDN w:val="0"/>
        <w:adjustRightInd w:val="0"/>
        <w:spacing w:line="240" w:lineRule="auto"/>
        <w:rPr>
          <w:rFonts w:ascii="Times New Roman" w:hAnsi="Times New Roman" w:cs="Times New Roman"/>
        </w:rPr>
      </w:pPr>
    </w:p>
    <w:p w14:paraId="53EB5C77" w14:textId="77777777" w:rsidR="001D4CAB" w:rsidRPr="005C7FE5" w:rsidRDefault="001D4CAB" w:rsidP="001D4CAB">
      <w:pPr>
        <w:pStyle w:val="Heading2"/>
        <w:rPr>
          <w:color w:val="auto"/>
        </w:rPr>
      </w:pPr>
      <w:r w:rsidRPr="005C7FE5">
        <w:rPr>
          <w:color w:val="auto"/>
        </w:rPr>
        <w:t xml:space="preserve"> Statistical analysis technique</w:t>
      </w:r>
    </w:p>
    <w:p w14:paraId="07472FD4"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r w:rsidRPr="005C7FE5">
        <w:rPr>
          <w:rFonts w:ascii="Times New Roman" w:hAnsi="Times New Roman" w:cs="Times New Roman"/>
        </w:rPr>
        <w:t>this study used the structural equation modeling (SEM) method For analyzing both the measurement and structural models, as allows the incorporation of both unobserved (i.e. latent) and observed variables in the same model,  ,  and it handles errors of measurement within exogenous variables having multiple indicators by the usage of confirmatory factor analysis. Additionally, SEM permits simultaneous analysis of multiple linear regression between the independent variables, multiple path analysis, assess the direct and indirect effect, and fitness of overall model which is not feasible in a traditional regression analysis method</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"Chin", "given" : "Wynne W", "non-dropping-particle" : "", "parse-names" : false, "suffix" : "" }, { "dropping-particle" : "", "family" : "Marcolin", "given" : "Barbara L", "non-dropping-particle" : "", "parse-names" : false, "suffix" : "" }, { "dropping-particle" : "", "family" : "Newsted", "given" : "Peter R", "non-dropping-particle" : "", "parse-names" : false, "suffix" : "" } ], "id" : "ITEM-1", "issue" : "May 2014", "issued" : { "date-parts" : [ [ "2003" ] ] }, "title" : "A Partial Least Squares Latent Variable Modeling Approach for Measuring Interaction Effects : Results from A Partial Least Squares Latent Variable Modeling Approach for Measuring Interaction Effects : Results from a Monte Carlo Simulation Study and an Ele", "type" : "article-journal" }, "uris" : [ "http://www.mendeley.com/documents/?uuid=890363c2-8b6e-460b-96f8-f7ff696080fc" ] }, { "id" : "ITEM-2", "itemData" : { "DOI" : "10.1.1.25.781", "ISBN" : "1529-3181", "ISSN" : "15293181", "author" : [ { "dropping-particle" : "", "family" : "Gefen", "given" : "David", "non-dropping-particle" : "", "parse-names" : false, "suffix" : "" }, { "dropping-particle" : "", "family" : "Straub", "given" : "Detmar W.", "non-dropping-particle" : "", "parse-names" : false, "suffix" : "" }, { "dropping-particle" : "", "family" : "Boudreau", "given" : "Marie-Claude", "non-dropping-particle" : "", "parse-names" : false, "suffix" : "" } ], "container-title" : "Communications of the Association for Information Systems", "id" : "ITEM-2", "issue" : "7", "issued" : { "date-parts" : [ [ "2000" ] ] }, "title" : "Structural Equation Modeling and Regression : Guidelines for Research Practice", "type" : "article-journal", "volume" : "4" }, "uris" : [ "http://www.mendeley.com/documents/?uuid=8b15a252-a86d-4102-a31a-015a825bc466" ] } ], "mendeley" : { "formattedCitation" : "(Chin, Marcolin, &amp; Newsted, 2003; Gefen, Straub, &amp; Boudreau, 2000)", "plainTextFormattedCitation" : "(Chin, Marcolin, &amp; Newsted, 2003; Gefen, Straub, &amp; Boudreau, 2000)", "previouslyFormattedCitation" : "(Chin, Marcolin, &amp; Newsted, 2003; Gefen, Straub, &amp; Boudreau, 2000)"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(Chin, Marcolin, &amp; Newsted, 2003; Gefen, Straub, &amp; Boudreau, 2000)</w:t>
      </w:r>
      <w:r w:rsidRPr="005C7FE5">
        <w:rPr>
          <w:rFonts w:ascii="Times New Roman" w:hAnsi="Times New Roman" w:cs="Times New Roman"/>
        </w:rPr>
        <w:fldChar w:fldCharType="end"/>
      </w:r>
      <w:r w:rsidRPr="005C7FE5">
        <w:rPr>
          <w:rFonts w:ascii="Times New Roman" w:hAnsi="Times New Roman" w:cs="Times New Roman"/>
        </w:rPr>
        <w:t xml:space="preserve">. Another advantage of SEM method is that it conceptualizes a variety of relations between a ranges of variables. SEM can also provide measures of fit to assess the entire model </w:t>
      </w:r>
      <w:r w:rsidRPr="005C7FE5">
        <w:rPr>
          <w:rFonts w:ascii="Times New Roman" w:hAnsi="Times New Roman" w:cs="Times New Roman"/>
        </w:rPr>
        <w:fldChar w:fldCharType="begin" w:fldLock="1"/>
      </w:r>
      <w:r w:rsidRPr="005C7FE5">
        <w:rPr>
          <w:rFonts w:ascii="Times New Roman" w:hAnsi="Times New Roman" w:cs="Times New Roman"/>
        </w:rPr>
        <w:instrText>ADDIN CSL_CITATION { "citationItems" : [ { "id" : "ITEM-1", "itemData" : { "author" : [ { "dropping-particle" : "", "family" : "Smith", "given" : "David", "non-dropping-particle" : "", "parse-names" : false, "suffix" : "" }, { "dropping-particle" : "", "family" : "Langfield-smith", "given" : "Kim", "non-dropping-particle" : "", "parse-names" : false, "suffix" : "" } ], "id" : "ITEM-1", "issued" : { "date-parts" : [ [ "2004" ] ] }, "title" : "Structural Equation Modeling in Management Accounting Resear", "type" : "article-journal" }, "uris" : [ "http://www.mendeley.com/documents/?uuid=dbd3a1e9-646f-41ca-aeca-f7c0e108b233" ] } ], "mendeley" : { "formattedCitation" : "(Smith &amp; Langfield-smith, 2004)", "plainTextFormattedCitation" : "(Smith &amp; Langfield-smith, 2004)", "previouslyFormattedCitation" : "(Smith &amp; Langfield-smith, 2004)" }, "properties" : { "noteIndex" : 0 }, "schema" : "https://github.com/citation-style-language/schema/raw/master/csl-citation.json" }</w:instrText>
      </w:r>
      <w:r w:rsidRPr="005C7FE5">
        <w:rPr>
          <w:rFonts w:ascii="Times New Roman" w:hAnsi="Times New Roman" w:cs="Times New Roman"/>
        </w:rPr>
        <w:fldChar w:fldCharType="separate"/>
      </w:r>
      <w:r w:rsidRPr="005C7FE5">
        <w:rPr>
          <w:rFonts w:ascii="Times New Roman" w:hAnsi="Times New Roman" w:cs="Times New Roman"/>
          <w:noProof/>
        </w:rPr>
        <w:t>(Smith &amp; Langfield-smith, 2004)</w:t>
      </w:r>
      <w:r w:rsidRPr="005C7FE5">
        <w:rPr>
          <w:rFonts w:ascii="Times New Roman" w:hAnsi="Times New Roman" w:cs="Times New Roman"/>
        </w:rPr>
        <w:fldChar w:fldCharType="end"/>
      </w:r>
      <w:r w:rsidRPr="005C7FE5">
        <w:rPr>
          <w:rFonts w:ascii="Times New Roman" w:hAnsi="Times New Roman" w:cs="Times New Roman"/>
        </w:rPr>
        <w:t xml:space="preserve">. Smart PLS applies many methodological approaches to calculate SEM. </w:t>
      </w:r>
      <w:r w:rsidRPr="005C7FE5">
        <w:rPr>
          <w:rFonts w:cstheme="majorBidi"/>
          <w:sz w:val="24"/>
          <w:szCs w:val="24"/>
        </w:rPr>
        <w:t xml:space="preserve">The advantage of using PLS path modeling is that it can estimate very complex models with many latent and observed variables. Also PLS technique is suitable for prediction-oriented research. </w:t>
      </w:r>
      <w:r w:rsidRPr="005C7FE5">
        <w:rPr>
          <w:rFonts w:ascii="Times New Roman" w:hAnsi="Times New Roman" w:cs="Times New Roman"/>
        </w:rPr>
        <w:t>The powerful feature of PLS path modeling is that it assesses very complex models having many latent and manifest variables. Also PLS technique is useful for prediction-oriented research. Thereby, the methodology assists researchers who focus on the explanation of endogenous constructs.</w:t>
      </w:r>
    </w:p>
    <w:p w14:paraId="146DFB14" w14:textId="77777777" w:rsidR="00362AFA" w:rsidRPr="005C7FE5" w:rsidRDefault="00362AFA" w:rsidP="001D4CAB">
      <w:pPr>
        <w:autoSpaceDE w:val="0"/>
        <w:autoSpaceDN w:val="0"/>
        <w:adjustRightInd w:val="0"/>
        <w:spacing w:after="0" w:line="240" w:lineRule="auto"/>
        <w:rPr>
          <w:rFonts w:ascii="Times New Roman" w:hAnsi="Times New Roman" w:cs="Times New Roman"/>
        </w:rPr>
      </w:pPr>
    </w:p>
    <w:p w14:paraId="1066819B" w14:textId="4E59C199" w:rsidR="00362AFA" w:rsidRPr="005C7FE5" w:rsidRDefault="001D4CAB" w:rsidP="00362AFA">
      <w:pPr>
        <w:pStyle w:val="Heading1"/>
        <w:spacing w:before="0"/>
        <w:rPr>
          <w:color w:val="auto"/>
        </w:rPr>
      </w:pPr>
      <w:r w:rsidRPr="005C7FE5">
        <w:rPr>
          <w:color w:val="auto"/>
        </w:rPr>
        <w:t>Data analysis</w:t>
      </w:r>
    </w:p>
    <w:p w14:paraId="45680DE7" w14:textId="77777777" w:rsidR="00362AFA" w:rsidRPr="005C7FE5" w:rsidRDefault="00362AFA" w:rsidP="00362AFA">
      <w:pPr>
        <w:rPr>
          <w:lang w:val="en-GB" w:eastAsia="en-GB"/>
        </w:rPr>
      </w:pPr>
    </w:p>
    <w:p w14:paraId="411F9B1E" w14:textId="77777777" w:rsidR="001D4CAB" w:rsidRPr="005C7FE5" w:rsidRDefault="001D4CAB" w:rsidP="001D4CAB">
      <w:pPr>
        <w:pStyle w:val="Heading2"/>
        <w:rPr>
          <w:color w:val="auto"/>
        </w:rPr>
      </w:pPr>
      <w:r w:rsidRPr="005C7FE5">
        <w:rPr>
          <w:color w:val="auto"/>
        </w:rPr>
        <w:t>Sample Demographic Profile</w:t>
      </w:r>
    </w:p>
    <w:p w14:paraId="748EAF9A" w14:textId="77777777" w:rsidR="001D4CAB" w:rsidRPr="005C7FE5" w:rsidRDefault="001D4CAB" w:rsidP="001D4CAB">
      <w:pPr>
        <w:spacing w:after="0" w:line="240" w:lineRule="auto"/>
        <w:rPr>
          <w:rFonts w:ascii="Times New Roman" w:hAnsi="Times New Roman" w:cs="Times New Roman"/>
        </w:rPr>
      </w:pPr>
      <w:r w:rsidRPr="005C7FE5">
        <w:rPr>
          <w:rFonts w:ascii="Times New Roman" w:eastAsia="Times New Roman" w:hAnsi="Times New Roman" w:cs="Times New Roman"/>
        </w:rPr>
        <w:t xml:space="preserve">Over 580 collected questionnaires, 562 useful responses were received from the male (96.9%) and only 18 from the female (3.1%). Therefore, the sample of this study is mainly dominated by male. </w:t>
      </w:r>
      <w:r w:rsidRPr="005C7FE5">
        <w:rPr>
          <w:rFonts w:ascii="Times New Roman" w:hAnsi="Times New Roman" w:cs="Times New Roman"/>
        </w:rPr>
        <w:t>Regarding the respondents age, 18.4% of the respondents stated that they had less than 30 years old, 30 to 35 were 25.9%, 36 to 41 years old years old, were 29.7% ,  17.1% had 42 to 47 years old and only 9.0% had more than 47 years old. In specifying the marital status of the respondents, 82.4% of them were single and only 17.6% were married. About 18.3% of the respondents stated that they have less than 5 years of experiences. 40.0% have 5 to 10, 20.2% have 11 to 15 and 21.6% of the respondents have more than 15 years of working experience. Regarding the study level of respondents, 51.9% of the responders were Secondary, 22.6% were Diploma, 18.6% were Bachelors and 6.9% were others. In specifying the Years of Establishment in Business, 26% of the respondents stated less than 5 year, 50% stated 5 to 10 year, 14% stated 11 to 15 years and 10% stated more than 15 year. Finally the respondents were asked to specify the number of workers. As the results, 62.9% of them have less than 11 workers while 37.1% have 11 to 99 workers.</w:t>
      </w:r>
    </w:p>
    <w:p w14:paraId="20F3A1C1" w14:textId="77777777" w:rsidR="001D4CAB" w:rsidRPr="005C7FE5" w:rsidRDefault="001D4CAB" w:rsidP="001D4CAB">
      <w:pPr>
        <w:autoSpaceDE w:val="0"/>
        <w:autoSpaceDN w:val="0"/>
        <w:adjustRightInd w:val="0"/>
        <w:spacing w:after="0" w:line="240" w:lineRule="auto"/>
        <w:rPr>
          <w:rFonts w:ascii="Times New Roman" w:hAnsi="Times New Roman" w:cs="Times New Roman"/>
        </w:rPr>
      </w:pPr>
    </w:p>
    <w:p w14:paraId="3D9137DD" w14:textId="77777777" w:rsidR="001D4CAB" w:rsidRPr="005C7FE5" w:rsidRDefault="001D4CAB" w:rsidP="001D4CAB">
      <w:pPr>
        <w:pStyle w:val="Heading2"/>
        <w:rPr>
          <w:color w:val="auto"/>
        </w:rPr>
      </w:pPr>
      <w:r w:rsidRPr="005C7FE5">
        <w:rPr>
          <w:color w:val="auto"/>
        </w:rPr>
        <w:lastRenderedPageBreak/>
        <w:t>Measure Reliability and Validity</w:t>
      </w:r>
    </w:p>
    <w:p w14:paraId="0718EF75" w14:textId="77777777" w:rsidR="001D4CAB" w:rsidRPr="005C7FE5" w:rsidRDefault="001D4CAB" w:rsidP="001D4CAB">
      <w:pPr>
        <w:spacing w:line="276" w:lineRule="auto"/>
        <w:rPr>
          <w:rFonts w:ascii="Times New Roman" w:hAnsi="Times New Roman" w:cs="Times New Roman"/>
          <w:lang w:val="en-GB" w:eastAsia="en-GB"/>
        </w:rPr>
      </w:pPr>
      <w:r w:rsidRPr="005C7FE5">
        <w:rPr>
          <w:rFonts w:ascii="Times New Roman" w:hAnsi="Times New Roman" w:cs="Times New Roman"/>
          <w:lang w:val="en-GB" w:eastAsia="en-GB"/>
        </w:rPr>
        <w:t xml:space="preserve">Confirmatory factor analysis (CFA) was applied to assess the reliability and validity of the measures that adapted from the previous studies. The results are showed in </w:t>
      </w:r>
      <w:r w:rsidRPr="005C7FE5">
        <w:rPr>
          <w:rFonts w:ascii="Times New Roman" w:hAnsi="Times New Roman" w:cs="Times New Roman"/>
          <w:lang w:val="en-GB" w:eastAsia="en-GB"/>
        </w:rPr>
        <w:fldChar w:fldCharType="begin"/>
      </w:r>
      <w:r w:rsidRPr="005C7FE5">
        <w:rPr>
          <w:rFonts w:ascii="Times New Roman" w:hAnsi="Times New Roman" w:cs="Times New Roman"/>
          <w:lang w:val="en-GB" w:eastAsia="en-GB"/>
        </w:rPr>
        <w:instrText xml:space="preserve"> REF _Ref460315013 \h  \* MERGEFORMAT </w:instrText>
      </w:r>
      <w:r w:rsidRPr="005C7FE5">
        <w:rPr>
          <w:rFonts w:ascii="Times New Roman" w:hAnsi="Times New Roman" w:cs="Times New Roman"/>
          <w:lang w:val="en-GB" w:eastAsia="en-GB"/>
        </w:rPr>
      </w:r>
      <w:r w:rsidRPr="005C7FE5">
        <w:rPr>
          <w:rFonts w:ascii="Times New Roman" w:hAnsi="Times New Roman" w:cs="Times New Roman"/>
          <w:lang w:val="en-GB" w:eastAsia="en-GB"/>
        </w:rPr>
        <w:fldChar w:fldCharType="separate"/>
      </w:r>
      <w:r w:rsidR="00102CA7" w:rsidRPr="00F0155A">
        <w:rPr>
          <w:rFonts w:ascii="Times New Roman" w:hAnsi="Times New Roman" w:cs="Times New Roman"/>
        </w:rPr>
        <w:tab/>
        <w:t>Table</w:t>
      </w:r>
      <w:r w:rsidR="00102CA7" w:rsidRPr="00F0155A">
        <w:rPr>
          <w:rFonts w:ascii="Times New Roman" w:hAnsi="Times New Roman" w:cs="Times New Roman"/>
          <w:noProof/>
        </w:rPr>
        <w:t xml:space="preserve"> </w:t>
      </w:r>
      <w:r w:rsidR="00102CA7">
        <w:rPr>
          <w:rFonts w:ascii="Times New Roman" w:hAnsi="Times New Roman" w:cs="Times New Roman"/>
          <w:noProof/>
        </w:rPr>
        <w:t>1</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w:t>
      </w:r>
    </w:p>
    <w:p w14:paraId="62A70AA2" w14:textId="77777777" w:rsidR="001D4CAB" w:rsidRPr="00F0155A" w:rsidRDefault="001D4CAB" w:rsidP="001D4CAB">
      <w:pPr>
        <w:pStyle w:val="Caption"/>
        <w:keepNext/>
        <w:tabs>
          <w:tab w:val="center" w:pos="4680"/>
        </w:tabs>
        <w:jc w:val="both"/>
        <w:rPr>
          <w:rFonts w:ascii="Times New Roman" w:hAnsi="Times New Roman" w:cs="Times New Roman"/>
          <w:szCs w:val="22"/>
        </w:rPr>
      </w:pPr>
      <w:bookmarkStart w:id="2" w:name="_Ref460315013"/>
      <w:r w:rsidRPr="00F0155A">
        <w:rPr>
          <w:rFonts w:ascii="Times New Roman" w:hAnsi="Times New Roman" w:cs="Times New Roman"/>
          <w:szCs w:val="22"/>
        </w:rPr>
        <w:tab/>
        <w:t xml:space="preserve">Table </w:t>
      </w:r>
      <w:r w:rsidRPr="00F0155A">
        <w:rPr>
          <w:rFonts w:ascii="Times New Roman" w:hAnsi="Times New Roman" w:cs="Times New Roman"/>
          <w:szCs w:val="22"/>
        </w:rPr>
        <w:fldChar w:fldCharType="begin"/>
      </w:r>
      <w:r w:rsidRPr="00F0155A">
        <w:rPr>
          <w:rFonts w:ascii="Times New Roman" w:hAnsi="Times New Roman" w:cs="Times New Roman"/>
          <w:szCs w:val="22"/>
        </w:rPr>
        <w:instrText xml:space="preserve"> SEQ Table \* ARABIC </w:instrText>
      </w:r>
      <w:r w:rsidRPr="00F0155A">
        <w:rPr>
          <w:rFonts w:ascii="Times New Roman" w:hAnsi="Times New Roman" w:cs="Times New Roman"/>
          <w:szCs w:val="22"/>
        </w:rPr>
        <w:fldChar w:fldCharType="separate"/>
      </w:r>
      <w:r w:rsidR="00102CA7">
        <w:rPr>
          <w:rFonts w:ascii="Times New Roman" w:hAnsi="Times New Roman" w:cs="Times New Roman"/>
          <w:noProof/>
          <w:szCs w:val="22"/>
        </w:rPr>
        <w:t>1</w:t>
      </w:r>
      <w:r w:rsidRPr="00F0155A">
        <w:rPr>
          <w:rFonts w:ascii="Times New Roman" w:hAnsi="Times New Roman" w:cs="Times New Roman"/>
          <w:noProof/>
          <w:szCs w:val="22"/>
        </w:rPr>
        <w:fldChar w:fldCharType="end"/>
      </w:r>
      <w:bookmarkEnd w:id="2"/>
      <w:r w:rsidRPr="00F0155A">
        <w:rPr>
          <w:rFonts w:ascii="Times New Roman" w:hAnsi="Times New Roman" w:cs="Times New Roman"/>
          <w:szCs w:val="22"/>
        </w:rPr>
        <w:t>: Result of CFA for Measurement Model</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1833"/>
        <w:gridCol w:w="929"/>
        <w:gridCol w:w="1823"/>
        <w:gridCol w:w="1629"/>
        <w:gridCol w:w="1284"/>
      </w:tblGrid>
      <w:tr w:rsidR="001D4CAB" w:rsidRPr="003071DB" w14:paraId="2E36AF75" w14:textId="77777777" w:rsidTr="001D4CAB">
        <w:trPr>
          <w:trHeight w:val="337"/>
          <w:jc w:val="center"/>
        </w:trPr>
        <w:tc>
          <w:tcPr>
            <w:tcW w:w="995" w:type="pct"/>
            <w:vMerge w:val="restart"/>
            <w:tcBorders>
              <w:top w:val="single" w:sz="4" w:space="0" w:color="auto"/>
            </w:tcBorders>
            <w:shd w:val="clear" w:color="auto" w:fill="auto"/>
            <w:vAlign w:val="center"/>
          </w:tcPr>
          <w:p w14:paraId="3D4FCC5B" w14:textId="77777777" w:rsidR="001D4CAB" w:rsidRPr="003071DB" w:rsidRDefault="001D4CAB" w:rsidP="001D4CAB">
            <w:pPr>
              <w:spacing w:after="0" w:line="240" w:lineRule="auto"/>
              <w:jc w:val="center"/>
              <w:rPr>
                <w:rFonts w:ascii="Times New Roman" w:eastAsia="Times New Roman" w:hAnsi="Times New Roman" w:cs="Times New Roman"/>
                <w:b/>
                <w:bCs/>
                <w:i/>
                <w:iCs/>
                <w:color w:val="000000"/>
                <w:sz w:val="20"/>
                <w:szCs w:val="20"/>
              </w:rPr>
            </w:pPr>
            <w:r w:rsidRPr="003071DB">
              <w:rPr>
                <w:rFonts w:ascii="Times New Roman" w:eastAsia="Times New Roman" w:hAnsi="Times New Roman" w:cs="Times New Roman"/>
                <w:b/>
                <w:bCs/>
                <w:i/>
                <w:iCs/>
                <w:color w:val="000000"/>
                <w:sz w:val="20"/>
                <w:szCs w:val="20"/>
              </w:rPr>
              <w:t>Construct</w:t>
            </w:r>
          </w:p>
        </w:tc>
        <w:tc>
          <w:tcPr>
            <w:tcW w:w="979" w:type="pct"/>
            <w:vMerge w:val="restart"/>
            <w:tcBorders>
              <w:top w:val="single" w:sz="4" w:space="0" w:color="auto"/>
            </w:tcBorders>
            <w:shd w:val="clear" w:color="auto" w:fill="auto"/>
            <w:vAlign w:val="center"/>
          </w:tcPr>
          <w:p w14:paraId="395FA14A" w14:textId="77777777" w:rsidR="001D4CAB" w:rsidRPr="003071DB" w:rsidRDefault="001D4CAB" w:rsidP="001D4CAB">
            <w:pPr>
              <w:spacing w:after="0" w:line="240" w:lineRule="auto"/>
              <w:jc w:val="left"/>
              <w:rPr>
                <w:rFonts w:ascii="Times New Roman" w:eastAsia="Times New Roman" w:hAnsi="Times New Roman" w:cs="Times New Roman"/>
                <w:b/>
                <w:bCs/>
                <w:i/>
                <w:iCs/>
                <w:color w:val="000000"/>
                <w:sz w:val="20"/>
                <w:szCs w:val="20"/>
              </w:rPr>
            </w:pPr>
            <w:r w:rsidRPr="003071DB">
              <w:rPr>
                <w:rFonts w:ascii="Times New Roman" w:eastAsia="Times New Roman" w:hAnsi="Times New Roman" w:cs="Times New Roman"/>
                <w:b/>
                <w:bCs/>
                <w:i/>
                <w:iCs/>
                <w:color w:val="000000"/>
                <w:sz w:val="20"/>
                <w:szCs w:val="20"/>
              </w:rPr>
              <w:t>Item</w:t>
            </w:r>
          </w:p>
        </w:tc>
        <w:tc>
          <w:tcPr>
            <w:tcW w:w="2340" w:type="pct"/>
            <w:gridSpan w:val="3"/>
            <w:tcBorders>
              <w:top w:val="single" w:sz="4" w:space="0" w:color="auto"/>
              <w:bottom w:val="single" w:sz="4" w:space="0" w:color="auto"/>
            </w:tcBorders>
            <w:shd w:val="clear" w:color="auto" w:fill="auto"/>
            <w:vAlign w:val="center"/>
          </w:tcPr>
          <w:p w14:paraId="24BB72BE"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Convergent Validity</w:t>
            </w:r>
          </w:p>
        </w:tc>
        <w:tc>
          <w:tcPr>
            <w:tcW w:w="686" w:type="pct"/>
            <w:vMerge w:val="restart"/>
            <w:tcBorders>
              <w:top w:val="single" w:sz="4" w:space="0" w:color="auto"/>
            </w:tcBorders>
            <w:shd w:val="clear" w:color="auto" w:fill="auto"/>
            <w:vAlign w:val="center"/>
          </w:tcPr>
          <w:p w14:paraId="462DBB37"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Internal</w:t>
            </w:r>
          </w:p>
          <w:p w14:paraId="6373FECD"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Reliability</w:t>
            </w:r>
          </w:p>
          <w:p w14:paraId="7402E5CC"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proofErr w:type="spellStart"/>
            <w:r w:rsidRPr="003071DB">
              <w:rPr>
                <w:rFonts w:ascii="Times New Roman" w:eastAsia="Calibri" w:hAnsi="Times New Roman" w:cs="Times New Roman"/>
                <w:b/>
                <w:bCs/>
                <w:sz w:val="20"/>
                <w:szCs w:val="20"/>
              </w:rPr>
              <w:t>Cronbach</w:t>
            </w:r>
            <w:proofErr w:type="spellEnd"/>
            <w:r w:rsidRPr="003071DB">
              <w:rPr>
                <w:rFonts w:ascii="Times New Roman" w:eastAsia="Calibri" w:hAnsi="Times New Roman" w:cs="Times New Roman"/>
                <w:b/>
                <w:bCs/>
                <w:sz w:val="20"/>
                <w:szCs w:val="20"/>
              </w:rPr>
              <w:t xml:space="preserve"> Alpha</w:t>
            </w:r>
          </w:p>
        </w:tc>
      </w:tr>
      <w:tr w:rsidR="001D4CAB" w:rsidRPr="003071DB" w14:paraId="1AEED971" w14:textId="77777777" w:rsidTr="001D4CAB">
        <w:trPr>
          <w:trHeight w:val="816"/>
          <w:jc w:val="center"/>
        </w:trPr>
        <w:tc>
          <w:tcPr>
            <w:tcW w:w="995" w:type="pct"/>
            <w:vMerge/>
            <w:tcBorders>
              <w:bottom w:val="single" w:sz="4" w:space="0" w:color="auto"/>
            </w:tcBorders>
            <w:shd w:val="clear" w:color="auto" w:fill="auto"/>
            <w:vAlign w:val="center"/>
          </w:tcPr>
          <w:p w14:paraId="02F5E829" w14:textId="77777777" w:rsidR="001D4CAB" w:rsidRPr="003071DB" w:rsidRDefault="001D4CAB" w:rsidP="001D4CAB">
            <w:pPr>
              <w:spacing w:after="0" w:line="240" w:lineRule="auto"/>
              <w:jc w:val="center"/>
              <w:rPr>
                <w:rFonts w:ascii="Times New Roman" w:eastAsia="Times New Roman" w:hAnsi="Times New Roman" w:cs="Times New Roman"/>
                <w:b/>
                <w:bCs/>
                <w:i/>
                <w:iCs/>
                <w:color w:val="000000"/>
                <w:sz w:val="20"/>
                <w:szCs w:val="20"/>
              </w:rPr>
            </w:pPr>
          </w:p>
        </w:tc>
        <w:tc>
          <w:tcPr>
            <w:tcW w:w="979" w:type="pct"/>
            <w:vMerge/>
            <w:tcBorders>
              <w:bottom w:val="single" w:sz="4" w:space="0" w:color="auto"/>
            </w:tcBorders>
            <w:shd w:val="clear" w:color="auto" w:fill="auto"/>
            <w:vAlign w:val="center"/>
          </w:tcPr>
          <w:p w14:paraId="2ED81967" w14:textId="77777777" w:rsidR="001D4CAB" w:rsidRPr="003071DB" w:rsidRDefault="001D4CAB" w:rsidP="001D4CAB">
            <w:pPr>
              <w:spacing w:after="0" w:line="240" w:lineRule="auto"/>
              <w:jc w:val="left"/>
              <w:rPr>
                <w:rFonts w:ascii="Times New Roman" w:eastAsia="Times New Roman" w:hAnsi="Times New Roman" w:cs="Times New Roman"/>
                <w:b/>
                <w:bCs/>
                <w:i/>
                <w:iCs/>
                <w:color w:val="000000"/>
                <w:sz w:val="20"/>
                <w:szCs w:val="20"/>
              </w:rPr>
            </w:pPr>
          </w:p>
        </w:tc>
        <w:tc>
          <w:tcPr>
            <w:tcW w:w="496" w:type="pct"/>
            <w:tcBorders>
              <w:top w:val="single" w:sz="4" w:space="0" w:color="auto"/>
              <w:bottom w:val="single" w:sz="4" w:space="0" w:color="auto"/>
            </w:tcBorders>
            <w:shd w:val="clear" w:color="auto" w:fill="auto"/>
            <w:vAlign w:val="center"/>
          </w:tcPr>
          <w:p w14:paraId="33535A37"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Factor</w:t>
            </w:r>
          </w:p>
          <w:p w14:paraId="1FB8B9A3"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Loading</w:t>
            </w:r>
          </w:p>
        </w:tc>
        <w:tc>
          <w:tcPr>
            <w:tcW w:w="974" w:type="pct"/>
            <w:tcBorders>
              <w:top w:val="single" w:sz="4" w:space="0" w:color="auto"/>
              <w:bottom w:val="single" w:sz="4" w:space="0" w:color="auto"/>
            </w:tcBorders>
            <w:shd w:val="clear" w:color="auto" w:fill="auto"/>
            <w:vAlign w:val="center"/>
          </w:tcPr>
          <w:p w14:paraId="0CB66AE6"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Average Variance Extracted (AVE)</w:t>
            </w:r>
            <w:r w:rsidRPr="003071DB">
              <w:rPr>
                <w:rFonts w:ascii="Times New Roman" w:eastAsia="Calibri" w:hAnsi="Times New Roman" w:cs="Times New Roman"/>
                <w:b/>
                <w:bCs/>
                <w:sz w:val="20"/>
                <w:szCs w:val="20"/>
                <w:vertAlign w:val="superscript"/>
              </w:rPr>
              <w:t>a</w:t>
            </w:r>
          </w:p>
        </w:tc>
        <w:tc>
          <w:tcPr>
            <w:tcW w:w="870" w:type="pct"/>
            <w:tcBorders>
              <w:top w:val="single" w:sz="4" w:space="0" w:color="auto"/>
              <w:bottom w:val="single" w:sz="4" w:space="0" w:color="auto"/>
            </w:tcBorders>
            <w:shd w:val="clear" w:color="auto" w:fill="auto"/>
            <w:vAlign w:val="center"/>
          </w:tcPr>
          <w:p w14:paraId="4D2FB45F"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r w:rsidRPr="003071DB">
              <w:rPr>
                <w:rFonts w:ascii="Times New Roman" w:eastAsia="Calibri" w:hAnsi="Times New Roman" w:cs="Times New Roman"/>
                <w:b/>
                <w:bCs/>
                <w:sz w:val="20"/>
                <w:szCs w:val="20"/>
              </w:rPr>
              <w:t>Composite Reliability (CR)</w:t>
            </w:r>
            <w:r w:rsidRPr="003071DB">
              <w:rPr>
                <w:rFonts w:ascii="Times New Roman" w:eastAsia="Calibri" w:hAnsi="Times New Roman" w:cs="Times New Roman"/>
                <w:b/>
                <w:bCs/>
                <w:sz w:val="20"/>
                <w:szCs w:val="20"/>
                <w:vertAlign w:val="superscript"/>
              </w:rPr>
              <w:t>b</w:t>
            </w:r>
          </w:p>
        </w:tc>
        <w:tc>
          <w:tcPr>
            <w:tcW w:w="686" w:type="pct"/>
            <w:vMerge/>
            <w:tcBorders>
              <w:bottom w:val="single" w:sz="4" w:space="0" w:color="auto"/>
            </w:tcBorders>
            <w:shd w:val="clear" w:color="auto" w:fill="auto"/>
            <w:vAlign w:val="center"/>
          </w:tcPr>
          <w:p w14:paraId="3A2790E8" w14:textId="77777777" w:rsidR="001D4CAB" w:rsidRPr="003071DB" w:rsidRDefault="001D4CAB" w:rsidP="001D4CAB">
            <w:pPr>
              <w:spacing w:after="0" w:line="240" w:lineRule="auto"/>
              <w:jc w:val="center"/>
              <w:rPr>
                <w:rFonts w:ascii="Times New Roman" w:eastAsia="Calibri" w:hAnsi="Times New Roman" w:cs="Times New Roman"/>
                <w:b/>
                <w:bCs/>
                <w:sz w:val="20"/>
                <w:szCs w:val="20"/>
              </w:rPr>
            </w:pPr>
          </w:p>
        </w:tc>
      </w:tr>
      <w:tr w:rsidR="001D4CAB" w:rsidRPr="003071DB" w14:paraId="649ED83F" w14:textId="77777777" w:rsidTr="001D4CAB">
        <w:trPr>
          <w:trHeight w:hRule="exact" w:val="284"/>
          <w:jc w:val="center"/>
        </w:trPr>
        <w:tc>
          <w:tcPr>
            <w:tcW w:w="995" w:type="pct"/>
            <w:vMerge w:val="restart"/>
          </w:tcPr>
          <w:p w14:paraId="581890A0"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Innovation (INN)</w:t>
            </w:r>
          </w:p>
        </w:tc>
        <w:tc>
          <w:tcPr>
            <w:tcW w:w="979" w:type="pct"/>
            <w:shd w:val="clear" w:color="auto" w:fill="auto"/>
          </w:tcPr>
          <w:p w14:paraId="41713C64"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INN1</w:t>
            </w:r>
          </w:p>
        </w:tc>
        <w:tc>
          <w:tcPr>
            <w:tcW w:w="496" w:type="pct"/>
            <w:tcBorders>
              <w:top w:val="nil"/>
              <w:left w:val="nil"/>
              <w:bottom w:val="nil"/>
              <w:right w:val="nil"/>
            </w:tcBorders>
            <w:shd w:val="clear" w:color="auto" w:fill="auto"/>
          </w:tcPr>
          <w:p w14:paraId="3026A23E"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0.809</w:t>
            </w:r>
          </w:p>
        </w:tc>
        <w:tc>
          <w:tcPr>
            <w:tcW w:w="974" w:type="pct"/>
            <w:vMerge w:val="restart"/>
            <w:tcBorders>
              <w:top w:val="single" w:sz="4" w:space="0" w:color="auto"/>
              <w:left w:val="nil"/>
              <w:bottom w:val="nil"/>
              <w:right w:val="nil"/>
            </w:tcBorders>
            <w:shd w:val="clear" w:color="auto" w:fill="auto"/>
          </w:tcPr>
          <w:p w14:paraId="552AFD2A"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0.636</w:t>
            </w:r>
          </w:p>
        </w:tc>
        <w:tc>
          <w:tcPr>
            <w:tcW w:w="870" w:type="pct"/>
            <w:vMerge w:val="restart"/>
            <w:tcBorders>
              <w:top w:val="single" w:sz="4" w:space="0" w:color="auto"/>
              <w:left w:val="nil"/>
              <w:bottom w:val="nil"/>
              <w:right w:val="nil"/>
            </w:tcBorders>
            <w:shd w:val="clear" w:color="auto" w:fill="auto"/>
          </w:tcPr>
          <w:p w14:paraId="6D3F0986"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0.897</w:t>
            </w:r>
          </w:p>
        </w:tc>
        <w:tc>
          <w:tcPr>
            <w:tcW w:w="686" w:type="pct"/>
            <w:vMerge w:val="restart"/>
            <w:tcBorders>
              <w:top w:val="single" w:sz="4" w:space="0" w:color="auto"/>
              <w:left w:val="nil"/>
              <w:bottom w:val="nil"/>
              <w:right w:val="nil"/>
            </w:tcBorders>
            <w:shd w:val="clear" w:color="auto" w:fill="auto"/>
          </w:tcPr>
          <w:p w14:paraId="265D4EA5"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0.857</w:t>
            </w:r>
          </w:p>
        </w:tc>
      </w:tr>
      <w:tr w:rsidR="001D4CAB" w:rsidRPr="003071DB" w14:paraId="76DCB6EB" w14:textId="77777777" w:rsidTr="001D4CAB">
        <w:trPr>
          <w:trHeight w:hRule="exact" w:val="284"/>
          <w:jc w:val="center"/>
        </w:trPr>
        <w:tc>
          <w:tcPr>
            <w:tcW w:w="995" w:type="pct"/>
            <w:vMerge/>
          </w:tcPr>
          <w:p w14:paraId="3CDACD97"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310DF87E"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INN2</w:t>
            </w:r>
          </w:p>
        </w:tc>
        <w:tc>
          <w:tcPr>
            <w:tcW w:w="496" w:type="pct"/>
            <w:tcBorders>
              <w:top w:val="nil"/>
              <w:left w:val="nil"/>
              <w:bottom w:val="nil"/>
              <w:right w:val="nil"/>
            </w:tcBorders>
            <w:shd w:val="clear" w:color="auto" w:fill="auto"/>
          </w:tcPr>
          <w:p w14:paraId="0002BD10"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0.781</w:t>
            </w:r>
          </w:p>
        </w:tc>
        <w:tc>
          <w:tcPr>
            <w:tcW w:w="974" w:type="pct"/>
            <w:vMerge/>
            <w:shd w:val="clear" w:color="auto" w:fill="auto"/>
          </w:tcPr>
          <w:p w14:paraId="041BC6A3"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38A01B0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713AC67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A07EB43" w14:textId="77777777" w:rsidTr="001D4CAB">
        <w:trPr>
          <w:trHeight w:hRule="exact" w:val="284"/>
          <w:jc w:val="center"/>
        </w:trPr>
        <w:tc>
          <w:tcPr>
            <w:tcW w:w="995" w:type="pct"/>
            <w:vMerge/>
          </w:tcPr>
          <w:p w14:paraId="0C624099"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3054DE5D"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INN3</w:t>
            </w:r>
          </w:p>
        </w:tc>
        <w:tc>
          <w:tcPr>
            <w:tcW w:w="496" w:type="pct"/>
            <w:tcBorders>
              <w:top w:val="nil"/>
              <w:left w:val="nil"/>
              <w:bottom w:val="nil"/>
              <w:right w:val="nil"/>
            </w:tcBorders>
            <w:shd w:val="clear" w:color="auto" w:fill="auto"/>
          </w:tcPr>
          <w:p w14:paraId="42E352C7"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0.743</w:t>
            </w:r>
          </w:p>
        </w:tc>
        <w:tc>
          <w:tcPr>
            <w:tcW w:w="974" w:type="pct"/>
            <w:vMerge/>
            <w:shd w:val="clear" w:color="auto" w:fill="auto"/>
          </w:tcPr>
          <w:p w14:paraId="25EB709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544B1198"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5EEECBA9"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8B42A34" w14:textId="77777777" w:rsidTr="001D4CAB">
        <w:trPr>
          <w:trHeight w:hRule="exact" w:val="284"/>
          <w:jc w:val="center"/>
        </w:trPr>
        <w:tc>
          <w:tcPr>
            <w:tcW w:w="995" w:type="pct"/>
            <w:vMerge/>
          </w:tcPr>
          <w:p w14:paraId="6CD92D26"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62A5F367"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INN4</w:t>
            </w:r>
          </w:p>
        </w:tc>
        <w:tc>
          <w:tcPr>
            <w:tcW w:w="496" w:type="pct"/>
            <w:tcBorders>
              <w:top w:val="nil"/>
              <w:left w:val="nil"/>
              <w:bottom w:val="nil"/>
              <w:right w:val="nil"/>
            </w:tcBorders>
            <w:shd w:val="clear" w:color="auto" w:fill="auto"/>
          </w:tcPr>
          <w:p w14:paraId="1377A624"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0.821</w:t>
            </w:r>
          </w:p>
        </w:tc>
        <w:tc>
          <w:tcPr>
            <w:tcW w:w="974" w:type="pct"/>
            <w:vMerge/>
            <w:shd w:val="clear" w:color="auto" w:fill="auto"/>
          </w:tcPr>
          <w:p w14:paraId="702D5FE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17C452C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61A8182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49F24794" w14:textId="77777777" w:rsidTr="001D4CAB">
        <w:trPr>
          <w:trHeight w:hRule="exact" w:val="284"/>
          <w:jc w:val="center"/>
        </w:trPr>
        <w:tc>
          <w:tcPr>
            <w:tcW w:w="995" w:type="pct"/>
            <w:vMerge/>
          </w:tcPr>
          <w:p w14:paraId="02C3B4AE"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28F73BFF"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INN5</w:t>
            </w:r>
          </w:p>
        </w:tc>
        <w:tc>
          <w:tcPr>
            <w:tcW w:w="496" w:type="pct"/>
            <w:tcBorders>
              <w:top w:val="nil"/>
              <w:left w:val="nil"/>
              <w:bottom w:val="nil"/>
              <w:right w:val="nil"/>
            </w:tcBorders>
            <w:shd w:val="clear" w:color="auto" w:fill="auto"/>
          </w:tcPr>
          <w:p w14:paraId="2FC575BD"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0.830</w:t>
            </w:r>
          </w:p>
        </w:tc>
        <w:tc>
          <w:tcPr>
            <w:tcW w:w="974" w:type="pct"/>
            <w:vMerge/>
            <w:shd w:val="clear" w:color="auto" w:fill="auto"/>
          </w:tcPr>
          <w:p w14:paraId="4542A4CF"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28B9682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6BDE4B0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3A372225" w14:textId="77777777" w:rsidTr="001D4CAB">
        <w:trPr>
          <w:trHeight w:hRule="exact" w:val="284"/>
          <w:jc w:val="center"/>
        </w:trPr>
        <w:tc>
          <w:tcPr>
            <w:tcW w:w="995" w:type="pct"/>
            <w:vMerge w:val="restart"/>
          </w:tcPr>
          <w:p w14:paraId="6EB0DD64"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Pro-Activeness (PRA)</w:t>
            </w:r>
          </w:p>
        </w:tc>
        <w:tc>
          <w:tcPr>
            <w:tcW w:w="979" w:type="pct"/>
            <w:shd w:val="clear" w:color="auto" w:fill="auto"/>
          </w:tcPr>
          <w:p w14:paraId="122A435C"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PRA1</w:t>
            </w:r>
          </w:p>
        </w:tc>
        <w:tc>
          <w:tcPr>
            <w:tcW w:w="496" w:type="pct"/>
            <w:tcBorders>
              <w:top w:val="nil"/>
              <w:left w:val="nil"/>
              <w:bottom w:val="nil"/>
              <w:right w:val="nil"/>
            </w:tcBorders>
            <w:shd w:val="clear" w:color="auto" w:fill="auto"/>
          </w:tcPr>
          <w:p w14:paraId="7A66E7FA"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0.813</w:t>
            </w:r>
          </w:p>
        </w:tc>
        <w:tc>
          <w:tcPr>
            <w:tcW w:w="974" w:type="pct"/>
            <w:vMerge w:val="restart"/>
            <w:tcBorders>
              <w:top w:val="nil"/>
              <w:left w:val="nil"/>
              <w:bottom w:val="nil"/>
              <w:right w:val="nil"/>
            </w:tcBorders>
            <w:shd w:val="clear" w:color="auto" w:fill="auto"/>
          </w:tcPr>
          <w:p w14:paraId="58DE4D91"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0.626</w:t>
            </w:r>
          </w:p>
        </w:tc>
        <w:tc>
          <w:tcPr>
            <w:tcW w:w="870" w:type="pct"/>
            <w:vMerge w:val="restart"/>
            <w:tcBorders>
              <w:top w:val="nil"/>
              <w:left w:val="nil"/>
              <w:bottom w:val="nil"/>
              <w:right w:val="nil"/>
            </w:tcBorders>
            <w:shd w:val="clear" w:color="auto" w:fill="auto"/>
          </w:tcPr>
          <w:p w14:paraId="6352954E"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0.893</w:t>
            </w:r>
          </w:p>
        </w:tc>
        <w:tc>
          <w:tcPr>
            <w:tcW w:w="686" w:type="pct"/>
            <w:vMerge w:val="restart"/>
            <w:tcBorders>
              <w:top w:val="nil"/>
              <w:left w:val="nil"/>
              <w:bottom w:val="nil"/>
              <w:right w:val="nil"/>
            </w:tcBorders>
            <w:shd w:val="clear" w:color="auto" w:fill="auto"/>
          </w:tcPr>
          <w:p w14:paraId="7236C52C"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0.850</w:t>
            </w:r>
          </w:p>
        </w:tc>
      </w:tr>
      <w:tr w:rsidR="001D4CAB" w:rsidRPr="003071DB" w14:paraId="4B1259D2" w14:textId="77777777" w:rsidTr="001D4CAB">
        <w:trPr>
          <w:trHeight w:hRule="exact" w:val="284"/>
          <w:jc w:val="center"/>
        </w:trPr>
        <w:tc>
          <w:tcPr>
            <w:tcW w:w="995" w:type="pct"/>
            <w:vMerge/>
          </w:tcPr>
          <w:p w14:paraId="7025B457"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718451B5"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PRA2</w:t>
            </w:r>
          </w:p>
        </w:tc>
        <w:tc>
          <w:tcPr>
            <w:tcW w:w="496" w:type="pct"/>
            <w:tcBorders>
              <w:top w:val="nil"/>
              <w:left w:val="nil"/>
              <w:bottom w:val="nil"/>
              <w:right w:val="nil"/>
            </w:tcBorders>
            <w:shd w:val="clear" w:color="auto" w:fill="auto"/>
          </w:tcPr>
          <w:p w14:paraId="7C3F805D"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0.802</w:t>
            </w:r>
          </w:p>
        </w:tc>
        <w:tc>
          <w:tcPr>
            <w:tcW w:w="974" w:type="pct"/>
            <w:vMerge/>
            <w:shd w:val="clear" w:color="auto" w:fill="auto"/>
          </w:tcPr>
          <w:p w14:paraId="2B2C7A7B"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64637C8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57AE0C1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33EB7A59" w14:textId="77777777" w:rsidTr="001D4CAB">
        <w:trPr>
          <w:trHeight w:hRule="exact" w:val="284"/>
          <w:jc w:val="center"/>
        </w:trPr>
        <w:tc>
          <w:tcPr>
            <w:tcW w:w="995" w:type="pct"/>
            <w:vMerge/>
          </w:tcPr>
          <w:p w14:paraId="1A0C9F1D"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7140DC7F"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PRA3</w:t>
            </w:r>
          </w:p>
        </w:tc>
        <w:tc>
          <w:tcPr>
            <w:tcW w:w="496" w:type="pct"/>
            <w:tcBorders>
              <w:top w:val="nil"/>
              <w:left w:val="nil"/>
              <w:bottom w:val="nil"/>
              <w:right w:val="nil"/>
            </w:tcBorders>
            <w:shd w:val="clear" w:color="auto" w:fill="auto"/>
          </w:tcPr>
          <w:p w14:paraId="6057E07B"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0.789</w:t>
            </w:r>
          </w:p>
        </w:tc>
        <w:tc>
          <w:tcPr>
            <w:tcW w:w="974" w:type="pct"/>
            <w:vMerge/>
            <w:shd w:val="clear" w:color="auto" w:fill="auto"/>
          </w:tcPr>
          <w:p w14:paraId="264BC1B3"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4352C2E6"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590BC759"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40256CCE" w14:textId="77777777" w:rsidTr="001D4CAB">
        <w:trPr>
          <w:trHeight w:hRule="exact" w:val="284"/>
          <w:jc w:val="center"/>
        </w:trPr>
        <w:tc>
          <w:tcPr>
            <w:tcW w:w="995" w:type="pct"/>
            <w:vMerge/>
          </w:tcPr>
          <w:p w14:paraId="6BC17A14"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7875319F"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PRA4</w:t>
            </w:r>
          </w:p>
        </w:tc>
        <w:tc>
          <w:tcPr>
            <w:tcW w:w="496" w:type="pct"/>
            <w:tcBorders>
              <w:top w:val="nil"/>
              <w:left w:val="nil"/>
              <w:bottom w:val="nil"/>
              <w:right w:val="nil"/>
            </w:tcBorders>
            <w:shd w:val="clear" w:color="auto" w:fill="auto"/>
          </w:tcPr>
          <w:p w14:paraId="42FD9161"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0.794</w:t>
            </w:r>
          </w:p>
        </w:tc>
        <w:tc>
          <w:tcPr>
            <w:tcW w:w="974" w:type="pct"/>
            <w:vMerge/>
            <w:shd w:val="clear" w:color="auto" w:fill="auto"/>
          </w:tcPr>
          <w:p w14:paraId="14BF106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00E4206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ABC9824"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45F8F211" w14:textId="77777777" w:rsidTr="001D4CAB">
        <w:trPr>
          <w:trHeight w:hRule="exact" w:val="284"/>
          <w:jc w:val="center"/>
        </w:trPr>
        <w:tc>
          <w:tcPr>
            <w:tcW w:w="995" w:type="pct"/>
            <w:vMerge/>
          </w:tcPr>
          <w:p w14:paraId="76CBE3F7"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06F55F5D"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strike/>
                <w:color w:val="000000"/>
                <w:sz w:val="20"/>
                <w:szCs w:val="20"/>
              </w:rPr>
              <w:t>PRA5</w:t>
            </w:r>
          </w:p>
        </w:tc>
        <w:tc>
          <w:tcPr>
            <w:tcW w:w="496" w:type="pct"/>
            <w:shd w:val="clear" w:color="auto" w:fill="auto"/>
          </w:tcPr>
          <w:p w14:paraId="0E58242B"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0.391</w:t>
            </w:r>
            <w:r w:rsidRPr="003071DB">
              <w:rPr>
                <w:rFonts w:ascii="Times New Roman" w:eastAsia="Times New Roman" w:hAnsi="Times New Roman" w:cs="Times New Roman"/>
                <w:sz w:val="20"/>
                <w:szCs w:val="20"/>
                <w:vertAlign w:val="superscript"/>
              </w:rPr>
              <w:t xml:space="preserve"> c</w:t>
            </w:r>
          </w:p>
        </w:tc>
        <w:tc>
          <w:tcPr>
            <w:tcW w:w="974" w:type="pct"/>
            <w:vMerge/>
            <w:shd w:val="clear" w:color="auto" w:fill="auto"/>
          </w:tcPr>
          <w:p w14:paraId="66702DA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893798A"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CAA8D3B"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BB55E9F" w14:textId="77777777" w:rsidTr="001D4CAB">
        <w:trPr>
          <w:trHeight w:hRule="exact" w:val="284"/>
          <w:jc w:val="center"/>
        </w:trPr>
        <w:tc>
          <w:tcPr>
            <w:tcW w:w="995" w:type="pct"/>
            <w:vMerge/>
          </w:tcPr>
          <w:p w14:paraId="7A6B43A6"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000F3078"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PRA6</w:t>
            </w:r>
          </w:p>
        </w:tc>
        <w:tc>
          <w:tcPr>
            <w:tcW w:w="496" w:type="pct"/>
            <w:shd w:val="clear" w:color="auto" w:fill="auto"/>
          </w:tcPr>
          <w:p w14:paraId="61C31421"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0.756</w:t>
            </w:r>
          </w:p>
        </w:tc>
        <w:tc>
          <w:tcPr>
            <w:tcW w:w="974" w:type="pct"/>
            <w:vMerge/>
            <w:shd w:val="clear" w:color="auto" w:fill="auto"/>
          </w:tcPr>
          <w:p w14:paraId="13E81A19"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4A3DE59B"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39E51D0"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38760528" w14:textId="77777777" w:rsidTr="001D4CAB">
        <w:trPr>
          <w:trHeight w:hRule="exact" w:val="284"/>
          <w:jc w:val="center"/>
        </w:trPr>
        <w:tc>
          <w:tcPr>
            <w:tcW w:w="995" w:type="pct"/>
            <w:vMerge w:val="restart"/>
          </w:tcPr>
          <w:p w14:paraId="67FBCD3B"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Risk Taking (RSK)</w:t>
            </w:r>
          </w:p>
        </w:tc>
        <w:tc>
          <w:tcPr>
            <w:tcW w:w="979" w:type="pct"/>
            <w:shd w:val="clear" w:color="auto" w:fill="auto"/>
          </w:tcPr>
          <w:p w14:paraId="41FD379C"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RSK1</w:t>
            </w:r>
          </w:p>
        </w:tc>
        <w:tc>
          <w:tcPr>
            <w:tcW w:w="496" w:type="pct"/>
            <w:tcBorders>
              <w:top w:val="nil"/>
              <w:left w:val="nil"/>
              <w:bottom w:val="nil"/>
              <w:right w:val="nil"/>
            </w:tcBorders>
            <w:shd w:val="clear" w:color="auto" w:fill="auto"/>
          </w:tcPr>
          <w:p w14:paraId="2A4B3A15"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0.717</w:t>
            </w:r>
          </w:p>
        </w:tc>
        <w:tc>
          <w:tcPr>
            <w:tcW w:w="974" w:type="pct"/>
            <w:vMerge w:val="restart"/>
            <w:tcBorders>
              <w:top w:val="nil"/>
              <w:left w:val="nil"/>
              <w:bottom w:val="nil"/>
              <w:right w:val="nil"/>
            </w:tcBorders>
            <w:shd w:val="clear" w:color="auto" w:fill="auto"/>
          </w:tcPr>
          <w:p w14:paraId="23000C60"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0.563</w:t>
            </w:r>
          </w:p>
        </w:tc>
        <w:tc>
          <w:tcPr>
            <w:tcW w:w="870" w:type="pct"/>
            <w:vMerge w:val="restart"/>
            <w:tcBorders>
              <w:top w:val="nil"/>
              <w:left w:val="nil"/>
              <w:bottom w:val="nil"/>
              <w:right w:val="nil"/>
            </w:tcBorders>
            <w:shd w:val="clear" w:color="auto" w:fill="auto"/>
          </w:tcPr>
          <w:p w14:paraId="53E7830F"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0.865</w:t>
            </w:r>
          </w:p>
        </w:tc>
        <w:tc>
          <w:tcPr>
            <w:tcW w:w="686" w:type="pct"/>
            <w:vMerge w:val="restart"/>
            <w:tcBorders>
              <w:top w:val="nil"/>
              <w:left w:val="nil"/>
              <w:bottom w:val="nil"/>
              <w:right w:val="nil"/>
            </w:tcBorders>
            <w:shd w:val="clear" w:color="auto" w:fill="auto"/>
          </w:tcPr>
          <w:p w14:paraId="739BBB86"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0.805</w:t>
            </w:r>
          </w:p>
        </w:tc>
      </w:tr>
      <w:tr w:rsidR="001D4CAB" w:rsidRPr="003071DB" w14:paraId="092808D8" w14:textId="77777777" w:rsidTr="001D4CAB">
        <w:trPr>
          <w:trHeight w:hRule="exact" w:val="284"/>
          <w:jc w:val="center"/>
        </w:trPr>
        <w:tc>
          <w:tcPr>
            <w:tcW w:w="995" w:type="pct"/>
            <w:vMerge/>
          </w:tcPr>
          <w:p w14:paraId="22B0A494"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6DA67B75"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RSK2</w:t>
            </w:r>
          </w:p>
        </w:tc>
        <w:tc>
          <w:tcPr>
            <w:tcW w:w="496" w:type="pct"/>
            <w:tcBorders>
              <w:top w:val="nil"/>
              <w:left w:val="nil"/>
              <w:bottom w:val="nil"/>
              <w:right w:val="nil"/>
            </w:tcBorders>
            <w:shd w:val="clear" w:color="auto" w:fill="auto"/>
          </w:tcPr>
          <w:p w14:paraId="26DB3277"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0.763</w:t>
            </w:r>
          </w:p>
        </w:tc>
        <w:tc>
          <w:tcPr>
            <w:tcW w:w="974" w:type="pct"/>
            <w:vMerge/>
            <w:shd w:val="clear" w:color="auto" w:fill="auto"/>
          </w:tcPr>
          <w:p w14:paraId="422BB58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21E0D683"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99235D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7D57017" w14:textId="77777777" w:rsidTr="001D4CAB">
        <w:trPr>
          <w:trHeight w:hRule="exact" w:val="284"/>
          <w:jc w:val="center"/>
        </w:trPr>
        <w:tc>
          <w:tcPr>
            <w:tcW w:w="995" w:type="pct"/>
            <w:vMerge/>
          </w:tcPr>
          <w:p w14:paraId="5FE7FF7D"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62414104"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RSK3</w:t>
            </w:r>
          </w:p>
        </w:tc>
        <w:tc>
          <w:tcPr>
            <w:tcW w:w="496" w:type="pct"/>
            <w:tcBorders>
              <w:top w:val="nil"/>
              <w:left w:val="nil"/>
              <w:bottom w:val="nil"/>
              <w:right w:val="nil"/>
            </w:tcBorders>
            <w:shd w:val="clear" w:color="auto" w:fill="auto"/>
          </w:tcPr>
          <w:p w14:paraId="7C6811CA"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0.780</w:t>
            </w:r>
          </w:p>
        </w:tc>
        <w:tc>
          <w:tcPr>
            <w:tcW w:w="974" w:type="pct"/>
            <w:vMerge/>
            <w:shd w:val="clear" w:color="auto" w:fill="auto"/>
          </w:tcPr>
          <w:p w14:paraId="3F7F5C5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1405FCBA"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4BD28D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71E3027C" w14:textId="77777777" w:rsidTr="001D4CAB">
        <w:trPr>
          <w:trHeight w:hRule="exact" w:val="284"/>
          <w:jc w:val="center"/>
        </w:trPr>
        <w:tc>
          <w:tcPr>
            <w:tcW w:w="995" w:type="pct"/>
            <w:vMerge/>
          </w:tcPr>
          <w:p w14:paraId="4239F8F9"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5114166"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RSK4</w:t>
            </w:r>
          </w:p>
        </w:tc>
        <w:tc>
          <w:tcPr>
            <w:tcW w:w="496" w:type="pct"/>
            <w:tcBorders>
              <w:top w:val="nil"/>
              <w:left w:val="nil"/>
              <w:bottom w:val="nil"/>
              <w:right w:val="nil"/>
            </w:tcBorders>
            <w:shd w:val="clear" w:color="auto" w:fill="auto"/>
          </w:tcPr>
          <w:p w14:paraId="4206B0D5"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0.768</w:t>
            </w:r>
          </w:p>
        </w:tc>
        <w:tc>
          <w:tcPr>
            <w:tcW w:w="974" w:type="pct"/>
            <w:vMerge/>
            <w:shd w:val="clear" w:color="auto" w:fill="auto"/>
          </w:tcPr>
          <w:p w14:paraId="15BABFD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385F24A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350DEA5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85D68A9" w14:textId="77777777" w:rsidTr="001D4CAB">
        <w:trPr>
          <w:trHeight w:hRule="exact" w:val="284"/>
          <w:jc w:val="center"/>
        </w:trPr>
        <w:tc>
          <w:tcPr>
            <w:tcW w:w="995" w:type="pct"/>
            <w:vMerge/>
          </w:tcPr>
          <w:p w14:paraId="2CE33FD1"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2513F6A4"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RSK5</w:t>
            </w:r>
          </w:p>
        </w:tc>
        <w:tc>
          <w:tcPr>
            <w:tcW w:w="496" w:type="pct"/>
            <w:tcBorders>
              <w:top w:val="nil"/>
              <w:left w:val="nil"/>
              <w:bottom w:val="nil"/>
              <w:right w:val="nil"/>
            </w:tcBorders>
            <w:shd w:val="clear" w:color="auto" w:fill="auto"/>
          </w:tcPr>
          <w:p w14:paraId="09E9B086"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0.720</w:t>
            </w:r>
          </w:p>
        </w:tc>
        <w:tc>
          <w:tcPr>
            <w:tcW w:w="974" w:type="pct"/>
            <w:vMerge/>
            <w:shd w:val="clear" w:color="auto" w:fill="auto"/>
          </w:tcPr>
          <w:p w14:paraId="6525A7F8"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0A9C423"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3BD653E6"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4E665EEA" w14:textId="77777777" w:rsidTr="001D4CAB">
        <w:trPr>
          <w:trHeight w:hRule="exact" w:val="284"/>
          <w:jc w:val="center"/>
        </w:trPr>
        <w:tc>
          <w:tcPr>
            <w:tcW w:w="995" w:type="pct"/>
            <w:vMerge/>
          </w:tcPr>
          <w:p w14:paraId="2284E786"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5FB2C822"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strike/>
                <w:color w:val="000000"/>
                <w:sz w:val="20"/>
                <w:szCs w:val="20"/>
              </w:rPr>
              <w:t>RSK6</w:t>
            </w:r>
          </w:p>
        </w:tc>
        <w:tc>
          <w:tcPr>
            <w:tcW w:w="496" w:type="pct"/>
            <w:shd w:val="clear" w:color="auto" w:fill="auto"/>
          </w:tcPr>
          <w:p w14:paraId="68B4B2FD"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0.285</w:t>
            </w:r>
            <w:r w:rsidRPr="003071DB">
              <w:rPr>
                <w:rFonts w:ascii="Times New Roman" w:eastAsia="Times New Roman" w:hAnsi="Times New Roman" w:cs="Times New Roman"/>
                <w:sz w:val="20"/>
                <w:szCs w:val="20"/>
                <w:vertAlign w:val="superscript"/>
              </w:rPr>
              <w:t xml:space="preserve"> c</w:t>
            </w:r>
          </w:p>
        </w:tc>
        <w:tc>
          <w:tcPr>
            <w:tcW w:w="974" w:type="pct"/>
            <w:vMerge/>
            <w:shd w:val="clear" w:color="auto" w:fill="auto"/>
          </w:tcPr>
          <w:p w14:paraId="774390AA"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611B42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203939A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5900405F" w14:textId="77777777" w:rsidTr="001D4CAB">
        <w:trPr>
          <w:trHeight w:hRule="exact" w:val="284"/>
          <w:jc w:val="center"/>
        </w:trPr>
        <w:tc>
          <w:tcPr>
            <w:tcW w:w="995" w:type="pct"/>
            <w:vMerge w:val="restart"/>
          </w:tcPr>
          <w:p w14:paraId="48541245"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 xml:space="preserve">Financing (FNC) </w:t>
            </w:r>
          </w:p>
        </w:tc>
        <w:tc>
          <w:tcPr>
            <w:tcW w:w="979" w:type="pct"/>
            <w:shd w:val="clear" w:color="auto" w:fill="auto"/>
          </w:tcPr>
          <w:p w14:paraId="5C4DC40C" w14:textId="77777777" w:rsidR="001D4CAB" w:rsidRPr="003071DB" w:rsidRDefault="001D4CAB" w:rsidP="001D4CAB">
            <w:pPr>
              <w:spacing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FNC1</w:t>
            </w:r>
          </w:p>
        </w:tc>
        <w:tc>
          <w:tcPr>
            <w:tcW w:w="496" w:type="pct"/>
            <w:tcBorders>
              <w:top w:val="nil"/>
              <w:left w:val="nil"/>
              <w:bottom w:val="nil"/>
              <w:right w:val="nil"/>
            </w:tcBorders>
            <w:shd w:val="clear" w:color="auto" w:fill="auto"/>
          </w:tcPr>
          <w:p w14:paraId="2E66D82D"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0.883</w:t>
            </w:r>
          </w:p>
        </w:tc>
        <w:tc>
          <w:tcPr>
            <w:tcW w:w="974" w:type="pct"/>
            <w:vMerge w:val="restart"/>
            <w:tcBorders>
              <w:top w:val="nil"/>
              <w:left w:val="nil"/>
              <w:bottom w:val="nil"/>
              <w:right w:val="nil"/>
            </w:tcBorders>
            <w:shd w:val="clear" w:color="auto" w:fill="auto"/>
          </w:tcPr>
          <w:p w14:paraId="3A800BB1"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0.767</w:t>
            </w:r>
          </w:p>
        </w:tc>
        <w:tc>
          <w:tcPr>
            <w:tcW w:w="870" w:type="pct"/>
            <w:vMerge w:val="restart"/>
            <w:tcBorders>
              <w:top w:val="nil"/>
              <w:left w:val="nil"/>
              <w:bottom w:val="nil"/>
              <w:right w:val="nil"/>
            </w:tcBorders>
            <w:shd w:val="clear" w:color="auto" w:fill="auto"/>
          </w:tcPr>
          <w:p w14:paraId="5D4D5ADE"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0.952</w:t>
            </w:r>
          </w:p>
        </w:tc>
        <w:tc>
          <w:tcPr>
            <w:tcW w:w="686" w:type="pct"/>
            <w:vMerge w:val="restart"/>
            <w:tcBorders>
              <w:top w:val="nil"/>
              <w:left w:val="nil"/>
              <w:bottom w:val="nil"/>
              <w:right w:val="nil"/>
            </w:tcBorders>
            <w:shd w:val="clear" w:color="auto" w:fill="auto"/>
          </w:tcPr>
          <w:p w14:paraId="7BA3E11E"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0.939</w:t>
            </w:r>
          </w:p>
        </w:tc>
      </w:tr>
      <w:tr w:rsidR="001D4CAB" w:rsidRPr="003071DB" w14:paraId="344050E5" w14:textId="77777777" w:rsidTr="001D4CAB">
        <w:trPr>
          <w:trHeight w:hRule="exact" w:val="284"/>
          <w:jc w:val="center"/>
        </w:trPr>
        <w:tc>
          <w:tcPr>
            <w:tcW w:w="995" w:type="pct"/>
            <w:vMerge/>
          </w:tcPr>
          <w:p w14:paraId="79B25BBE"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A76830E" w14:textId="77777777" w:rsidR="001D4CAB" w:rsidRPr="003071DB" w:rsidRDefault="001D4CAB" w:rsidP="001D4CAB">
            <w:pPr>
              <w:spacing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FNC2</w:t>
            </w:r>
          </w:p>
        </w:tc>
        <w:tc>
          <w:tcPr>
            <w:tcW w:w="496" w:type="pct"/>
            <w:tcBorders>
              <w:top w:val="nil"/>
              <w:left w:val="nil"/>
              <w:bottom w:val="nil"/>
              <w:right w:val="nil"/>
            </w:tcBorders>
            <w:shd w:val="clear" w:color="auto" w:fill="auto"/>
          </w:tcPr>
          <w:p w14:paraId="3F8E93D1"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0.906</w:t>
            </w:r>
          </w:p>
        </w:tc>
        <w:tc>
          <w:tcPr>
            <w:tcW w:w="974" w:type="pct"/>
            <w:vMerge/>
            <w:shd w:val="clear" w:color="auto" w:fill="auto"/>
          </w:tcPr>
          <w:p w14:paraId="5BC989B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5DB46A86"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6D676FF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CD037A5" w14:textId="77777777" w:rsidTr="001D4CAB">
        <w:trPr>
          <w:trHeight w:hRule="exact" w:val="284"/>
          <w:jc w:val="center"/>
        </w:trPr>
        <w:tc>
          <w:tcPr>
            <w:tcW w:w="995" w:type="pct"/>
            <w:vMerge/>
          </w:tcPr>
          <w:p w14:paraId="226C3124"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2BA604A7" w14:textId="77777777" w:rsidR="001D4CAB" w:rsidRPr="003071DB" w:rsidRDefault="001D4CAB" w:rsidP="001D4CAB">
            <w:pPr>
              <w:spacing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FNC3</w:t>
            </w:r>
          </w:p>
        </w:tc>
        <w:tc>
          <w:tcPr>
            <w:tcW w:w="496" w:type="pct"/>
            <w:tcBorders>
              <w:top w:val="nil"/>
              <w:left w:val="nil"/>
              <w:bottom w:val="nil"/>
              <w:right w:val="nil"/>
            </w:tcBorders>
            <w:shd w:val="clear" w:color="auto" w:fill="auto"/>
          </w:tcPr>
          <w:p w14:paraId="1B0D3497"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0.892</w:t>
            </w:r>
          </w:p>
        </w:tc>
        <w:tc>
          <w:tcPr>
            <w:tcW w:w="974" w:type="pct"/>
            <w:vMerge/>
            <w:shd w:val="clear" w:color="auto" w:fill="auto"/>
          </w:tcPr>
          <w:p w14:paraId="64A747F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0081AB8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099DFBC4"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163AE77" w14:textId="77777777" w:rsidTr="001D4CAB">
        <w:trPr>
          <w:trHeight w:hRule="exact" w:val="284"/>
          <w:jc w:val="center"/>
        </w:trPr>
        <w:tc>
          <w:tcPr>
            <w:tcW w:w="995" w:type="pct"/>
            <w:vMerge/>
          </w:tcPr>
          <w:p w14:paraId="2AF35EB7"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5585634A" w14:textId="77777777" w:rsidR="001D4CAB" w:rsidRPr="003071DB" w:rsidRDefault="001D4CAB" w:rsidP="001D4CAB">
            <w:pPr>
              <w:spacing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FNC4</w:t>
            </w:r>
          </w:p>
        </w:tc>
        <w:tc>
          <w:tcPr>
            <w:tcW w:w="496" w:type="pct"/>
            <w:tcBorders>
              <w:top w:val="nil"/>
              <w:left w:val="nil"/>
              <w:bottom w:val="nil"/>
              <w:right w:val="nil"/>
            </w:tcBorders>
            <w:shd w:val="clear" w:color="auto" w:fill="auto"/>
          </w:tcPr>
          <w:p w14:paraId="793EF70B"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0.870</w:t>
            </w:r>
          </w:p>
        </w:tc>
        <w:tc>
          <w:tcPr>
            <w:tcW w:w="974" w:type="pct"/>
            <w:vMerge/>
            <w:shd w:val="clear" w:color="auto" w:fill="auto"/>
          </w:tcPr>
          <w:p w14:paraId="7F984B64"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109138D6"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2E3E26CF"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AAD4AC5" w14:textId="77777777" w:rsidTr="001D4CAB">
        <w:trPr>
          <w:trHeight w:hRule="exact" w:val="284"/>
          <w:jc w:val="center"/>
        </w:trPr>
        <w:tc>
          <w:tcPr>
            <w:tcW w:w="995" w:type="pct"/>
            <w:vMerge/>
          </w:tcPr>
          <w:p w14:paraId="0828C7DA"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1F87A7A6" w14:textId="77777777" w:rsidR="001D4CAB" w:rsidRPr="003071DB" w:rsidRDefault="001D4CAB" w:rsidP="001D4CAB">
            <w:pPr>
              <w:spacing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FNC5</w:t>
            </w:r>
          </w:p>
        </w:tc>
        <w:tc>
          <w:tcPr>
            <w:tcW w:w="496" w:type="pct"/>
            <w:tcBorders>
              <w:top w:val="nil"/>
              <w:left w:val="nil"/>
              <w:bottom w:val="nil"/>
              <w:right w:val="nil"/>
            </w:tcBorders>
            <w:shd w:val="clear" w:color="auto" w:fill="auto"/>
          </w:tcPr>
          <w:p w14:paraId="323760A6"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0.892</w:t>
            </w:r>
          </w:p>
        </w:tc>
        <w:tc>
          <w:tcPr>
            <w:tcW w:w="974" w:type="pct"/>
            <w:vMerge/>
            <w:shd w:val="clear" w:color="auto" w:fill="auto"/>
          </w:tcPr>
          <w:p w14:paraId="118395E0"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0019767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6BE35128"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314D2DEE" w14:textId="77777777" w:rsidTr="001D4CAB">
        <w:trPr>
          <w:trHeight w:hRule="exact" w:val="284"/>
          <w:jc w:val="center"/>
        </w:trPr>
        <w:tc>
          <w:tcPr>
            <w:tcW w:w="995" w:type="pct"/>
            <w:vMerge/>
          </w:tcPr>
          <w:p w14:paraId="351A2396"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6D3F7ED" w14:textId="77777777" w:rsidR="001D4CAB" w:rsidRPr="003071DB" w:rsidRDefault="001D4CAB" w:rsidP="001D4CAB">
            <w:pPr>
              <w:spacing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FNC6</w:t>
            </w:r>
          </w:p>
        </w:tc>
        <w:tc>
          <w:tcPr>
            <w:tcW w:w="496" w:type="pct"/>
            <w:tcBorders>
              <w:top w:val="nil"/>
              <w:left w:val="nil"/>
              <w:bottom w:val="nil"/>
              <w:right w:val="nil"/>
            </w:tcBorders>
            <w:shd w:val="clear" w:color="auto" w:fill="auto"/>
          </w:tcPr>
          <w:p w14:paraId="4CDB0F0C"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0.806</w:t>
            </w:r>
          </w:p>
        </w:tc>
        <w:tc>
          <w:tcPr>
            <w:tcW w:w="974" w:type="pct"/>
            <w:vMerge/>
            <w:shd w:val="clear" w:color="auto" w:fill="auto"/>
          </w:tcPr>
          <w:p w14:paraId="0ADD11EF"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5E05B7B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1C66DD86"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3944E19F" w14:textId="77777777" w:rsidTr="001D4CAB">
        <w:trPr>
          <w:trHeight w:hRule="exact" w:val="284"/>
          <w:jc w:val="center"/>
        </w:trPr>
        <w:tc>
          <w:tcPr>
            <w:tcW w:w="995" w:type="pct"/>
            <w:vMerge/>
          </w:tcPr>
          <w:p w14:paraId="78E7CB8A"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6F78634B" w14:textId="77777777" w:rsidR="001D4CAB" w:rsidRPr="003071DB" w:rsidRDefault="001D4CAB" w:rsidP="001D4CAB">
            <w:pPr>
              <w:spacing w:line="240" w:lineRule="auto"/>
              <w:jc w:val="left"/>
              <w:rPr>
                <w:rFonts w:ascii="Times New Roman" w:eastAsia="Times New Roman" w:hAnsi="Times New Roman" w:cs="Times New Roman"/>
                <w:strike/>
                <w:color w:val="000000"/>
                <w:sz w:val="20"/>
                <w:szCs w:val="20"/>
              </w:rPr>
            </w:pPr>
            <w:r w:rsidRPr="003071DB">
              <w:rPr>
                <w:rFonts w:ascii="Times New Roman" w:eastAsia="Times New Roman" w:hAnsi="Times New Roman" w:cs="Times New Roman"/>
                <w:strike/>
                <w:color w:val="000000"/>
                <w:sz w:val="20"/>
                <w:szCs w:val="20"/>
              </w:rPr>
              <w:t>FNC7</w:t>
            </w:r>
          </w:p>
        </w:tc>
        <w:tc>
          <w:tcPr>
            <w:tcW w:w="496" w:type="pct"/>
            <w:tcBorders>
              <w:top w:val="nil"/>
              <w:left w:val="nil"/>
              <w:bottom w:val="nil"/>
              <w:right w:val="nil"/>
            </w:tcBorders>
            <w:shd w:val="clear" w:color="auto" w:fill="auto"/>
          </w:tcPr>
          <w:p w14:paraId="78861F51" w14:textId="77777777" w:rsidR="001D4CAB" w:rsidRPr="003071DB" w:rsidRDefault="001D4CAB" w:rsidP="001D4CAB">
            <w:pPr>
              <w:spacing w:line="240" w:lineRule="auto"/>
              <w:jc w:val="center"/>
              <w:rPr>
                <w:rFonts w:ascii="Times New Roman" w:hAnsi="Times New Roman" w:cs="Times New Roman"/>
                <w:color w:val="000000"/>
                <w:sz w:val="20"/>
                <w:szCs w:val="20"/>
              </w:rPr>
            </w:pPr>
            <w:r w:rsidRPr="003071DB">
              <w:rPr>
                <w:rFonts w:ascii="Times New Roman" w:hAnsi="Times New Roman" w:cs="Times New Roman"/>
                <w:color w:val="000000"/>
                <w:sz w:val="20"/>
                <w:szCs w:val="20"/>
              </w:rPr>
              <w:t>0.126</w:t>
            </w:r>
            <w:r w:rsidRPr="003071DB">
              <w:rPr>
                <w:rFonts w:ascii="Times New Roman" w:hAnsi="Times New Roman" w:cs="Times New Roman"/>
                <w:color w:val="000000"/>
                <w:sz w:val="20"/>
                <w:szCs w:val="20"/>
                <w:vertAlign w:val="superscript"/>
              </w:rPr>
              <w:t>c</w:t>
            </w:r>
          </w:p>
        </w:tc>
        <w:tc>
          <w:tcPr>
            <w:tcW w:w="974" w:type="pct"/>
            <w:vMerge/>
            <w:shd w:val="clear" w:color="auto" w:fill="auto"/>
          </w:tcPr>
          <w:p w14:paraId="4C6C55F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32BDCF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74C80A6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41859323" w14:textId="77777777" w:rsidTr="001D4CAB">
        <w:trPr>
          <w:trHeight w:hRule="exact" w:val="284"/>
          <w:jc w:val="center"/>
        </w:trPr>
        <w:tc>
          <w:tcPr>
            <w:tcW w:w="995" w:type="pct"/>
            <w:vMerge/>
          </w:tcPr>
          <w:p w14:paraId="22906B81"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1978E611" w14:textId="77777777" w:rsidR="001D4CAB" w:rsidRPr="003071DB" w:rsidRDefault="001D4CAB" w:rsidP="001D4CAB">
            <w:pPr>
              <w:spacing w:line="240" w:lineRule="auto"/>
              <w:jc w:val="left"/>
              <w:rPr>
                <w:rFonts w:ascii="Times New Roman" w:eastAsia="Times New Roman" w:hAnsi="Times New Roman" w:cs="Times New Roman"/>
                <w:strike/>
                <w:color w:val="000000"/>
                <w:sz w:val="20"/>
                <w:szCs w:val="20"/>
              </w:rPr>
            </w:pPr>
            <w:r w:rsidRPr="003071DB">
              <w:rPr>
                <w:rFonts w:ascii="Times New Roman" w:eastAsia="Times New Roman" w:hAnsi="Times New Roman" w:cs="Times New Roman"/>
                <w:strike/>
                <w:color w:val="000000"/>
                <w:sz w:val="20"/>
                <w:szCs w:val="20"/>
              </w:rPr>
              <w:t>FNC8</w:t>
            </w:r>
          </w:p>
        </w:tc>
        <w:tc>
          <w:tcPr>
            <w:tcW w:w="496" w:type="pct"/>
            <w:shd w:val="clear" w:color="auto" w:fill="auto"/>
          </w:tcPr>
          <w:p w14:paraId="4E1EE87A" w14:textId="77777777" w:rsidR="001D4CAB" w:rsidRPr="003071DB" w:rsidRDefault="001D4CAB" w:rsidP="001D4CAB">
            <w:pPr>
              <w:spacing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0.090</w:t>
            </w:r>
            <w:r w:rsidRPr="003071DB">
              <w:rPr>
                <w:rFonts w:ascii="Times New Roman" w:hAnsi="Times New Roman" w:cs="Times New Roman"/>
                <w:color w:val="000000"/>
                <w:sz w:val="20"/>
                <w:szCs w:val="20"/>
                <w:vertAlign w:val="superscript"/>
              </w:rPr>
              <w:t xml:space="preserve"> c</w:t>
            </w:r>
          </w:p>
        </w:tc>
        <w:tc>
          <w:tcPr>
            <w:tcW w:w="974" w:type="pct"/>
            <w:vMerge/>
            <w:shd w:val="clear" w:color="auto" w:fill="auto"/>
          </w:tcPr>
          <w:p w14:paraId="12C9630B"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52E964DA"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5ECEE073"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C4EB913" w14:textId="77777777" w:rsidTr="001D4CAB">
        <w:trPr>
          <w:trHeight w:hRule="exact" w:val="284"/>
          <w:jc w:val="center"/>
        </w:trPr>
        <w:tc>
          <w:tcPr>
            <w:tcW w:w="995" w:type="pct"/>
            <w:vMerge w:val="restart"/>
          </w:tcPr>
          <w:p w14:paraId="3C6A8D1E"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Market Differentiation (MRD)</w:t>
            </w:r>
          </w:p>
        </w:tc>
        <w:tc>
          <w:tcPr>
            <w:tcW w:w="979" w:type="pct"/>
            <w:shd w:val="clear" w:color="auto" w:fill="auto"/>
          </w:tcPr>
          <w:p w14:paraId="5EB484D9" w14:textId="77777777" w:rsidR="001D4CAB" w:rsidRPr="003071DB" w:rsidRDefault="001D4CAB" w:rsidP="001D4CAB">
            <w:pPr>
              <w:spacing w:after="0" w:line="240" w:lineRule="auto"/>
              <w:jc w:val="left"/>
              <w:rPr>
                <w:rFonts w:ascii="Times New Roman" w:eastAsia="Times New Roman" w:hAnsi="Times New Roman" w:cs="Times New Roman"/>
                <w:strike/>
                <w:color w:val="000000"/>
                <w:sz w:val="20"/>
                <w:szCs w:val="20"/>
              </w:rPr>
            </w:pPr>
            <w:r w:rsidRPr="003071DB">
              <w:rPr>
                <w:rFonts w:ascii="Times New Roman" w:eastAsia="Times New Roman" w:hAnsi="Times New Roman" w:cs="Times New Roman"/>
                <w:strike/>
                <w:color w:val="000000"/>
                <w:sz w:val="20"/>
                <w:szCs w:val="20"/>
              </w:rPr>
              <w:t>MRD1</w:t>
            </w:r>
          </w:p>
        </w:tc>
        <w:tc>
          <w:tcPr>
            <w:tcW w:w="496" w:type="pct"/>
            <w:shd w:val="clear" w:color="auto" w:fill="auto"/>
          </w:tcPr>
          <w:p w14:paraId="4E596793"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0.525</w:t>
            </w:r>
            <w:r w:rsidRPr="003071DB">
              <w:rPr>
                <w:rFonts w:ascii="Times New Roman" w:eastAsia="Times New Roman" w:hAnsi="Times New Roman" w:cs="Times New Roman"/>
                <w:sz w:val="20"/>
                <w:szCs w:val="20"/>
                <w:vertAlign w:val="superscript"/>
              </w:rPr>
              <w:t xml:space="preserve"> c</w:t>
            </w:r>
          </w:p>
        </w:tc>
        <w:tc>
          <w:tcPr>
            <w:tcW w:w="974" w:type="pct"/>
            <w:vMerge w:val="restart"/>
            <w:tcBorders>
              <w:top w:val="nil"/>
              <w:left w:val="nil"/>
              <w:bottom w:val="nil"/>
              <w:right w:val="nil"/>
            </w:tcBorders>
            <w:shd w:val="clear" w:color="auto" w:fill="auto"/>
          </w:tcPr>
          <w:p w14:paraId="56E75E13"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0.627</w:t>
            </w:r>
          </w:p>
        </w:tc>
        <w:tc>
          <w:tcPr>
            <w:tcW w:w="870" w:type="pct"/>
            <w:vMerge w:val="restart"/>
            <w:tcBorders>
              <w:top w:val="nil"/>
              <w:left w:val="nil"/>
              <w:bottom w:val="nil"/>
              <w:right w:val="nil"/>
            </w:tcBorders>
            <w:shd w:val="clear" w:color="auto" w:fill="auto"/>
          </w:tcPr>
          <w:p w14:paraId="0510D96B"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0.922</w:t>
            </w:r>
          </w:p>
        </w:tc>
        <w:tc>
          <w:tcPr>
            <w:tcW w:w="686" w:type="pct"/>
            <w:vMerge w:val="restart"/>
            <w:tcBorders>
              <w:top w:val="nil"/>
              <w:left w:val="nil"/>
              <w:bottom w:val="nil"/>
              <w:right w:val="nil"/>
            </w:tcBorders>
            <w:shd w:val="clear" w:color="auto" w:fill="auto"/>
          </w:tcPr>
          <w:p w14:paraId="7271A187"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0.901</w:t>
            </w:r>
          </w:p>
        </w:tc>
      </w:tr>
      <w:tr w:rsidR="001D4CAB" w:rsidRPr="003071DB" w14:paraId="0D96AA31" w14:textId="77777777" w:rsidTr="001D4CAB">
        <w:trPr>
          <w:trHeight w:hRule="exact" w:val="284"/>
          <w:jc w:val="center"/>
        </w:trPr>
        <w:tc>
          <w:tcPr>
            <w:tcW w:w="995" w:type="pct"/>
            <w:vMerge/>
          </w:tcPr>
          <w:p w14:paraId="431EB949"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0CB705E1"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MRD2</w:t>
            </w:r>
          </w:p>
        </w:tc>
        <w:tc>
          <w:tcPr>
            <w:tcW w:w="496" w:type="pct"/>
            <w:tcBorders>
              <w:top w:val="nil"/>
              <w:left w:val="nil"/>
              <w:bottom w:val="nil"/>
              <w:right w:val="nil"/>
            </w:tcBorders>
            <w:shd w:val="clear" w:color="auto" w:fill="auto"/>
          </w:tcPr>
          <w:p w14:paraId="646952D7"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0.781</w:t>
            </w:r>
          </w:p>
        </w:tc>
        <w:tc>
          <w:tcPr>
            <w:tcW w:w="974" w:type="pct"/>
            <w:vMerge/>
            <w:shd w:val="clear" w:color="auto" w:fill="auto"/>
          </w:tcPr>
          <w:p w14:paraId="379BF499"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5035A09"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1CA1FDEA"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A23F3F6" w14:textId="77777777" w:rsidTr="001D4CAB">
        <w:trPr>
          <w:trHeight w:hRule="exact" w:val="284"/>
          <w:jc w:val="center"/>
        </w:trPr>
        <w:tc>
          <w:tcPr>
            <w:tcW w:w="995" w:type="pct"/>
            <w:vMerge/>
          </w:tcPr>
          <w:p w14:paraId="680BC568"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26A11C0C"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MRD3</w:t>
            </w:r>
          </w:p>
        </w:tc>
        <w:tc>
          <w:tcPr>
            <w:tcW w:w="496" w:type="pct"/>
            <w:tcBorders>
              <w:top w:val="nil"/>
              <w:left w:val="nil"/>
              <w:bottom w:val="nil"/>
              <w:right w:val="nil"/>
            </w:tcBorders>
            <w:shd w:val="clear" w:color="auto" w:fill="auto"/>
          </w:tcPr>
          <w:p w14:paraId="0DBDB61B"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0.815</w:t>
            </w:r>
          </w:p>
        </w:tc>
        <w:tc>
          <w:tcPr>
            <w:tcW w:w="974" w:type="pct"/>
            <w:vMerge/>
            <w:shd w:val="clear" w:color="auto" w:fill="auto"/>
          </w:tcPr>
          <w:p w14:paraId="41FFD0B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0DF620E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3659B28F"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646EFBF" w14:textId="77777777" w:rsidTr="001D4CAB">
        <w:trPr>
          <w:trHeight w:hRule="exact" w:val="284"/>
          <w:jc w:val="center"/>
        </w:trPr>
        <w:tc>
          <w:tcPr>
            <w:tcW w:w="995" w:type="pct"/>
            <w:vMerge/>
          </w:tcPr>
          <w:p w14:paraId="4053004E"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B3F854E"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MRD4</w:t>
            </w:r>
          </w:p>
        </w:tc>
        <w:tc>
          <w:tcPr>
            <w:tcW w:w="496" w:type="pct"/>
            <w:tcBorders>
              <w:top w:val="nil"/>
              <w:left w:val="nil"/>
              <w:bottom w:val="nil"/>
              <w:right w:val="nil"/>
            </w:tcBorders>
            <w:shd w:val="clear" w:color="auto" w:fill="auto"/>
          </w:tcPr>
          <w:p w14:paraId="5EE9DA6D"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0.749</w:t>
            </w:r>
          </w:p>
        </w:tc>
        <w:tc>
          <w:tcPr>
            <w:tcW w:w="974" w:type="pct"/>
            <w:vMerge/>
            <w:shd w:val="clear" w:color="auto" w:fill="auto"/>
          </w:tcPr>
          <w:p w14:paraId="4C6D6050"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1B14B94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0515897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77B5AAF" w14:textId="77777777" w:rsidTr="001D4CAB">
        <w:trPr>
          <w:trHeight w:hRule="exact" w:val="284"/>
          <w:jc w:val="center"/>
        </w:trPr>
        <w:tc>
          <w:tcPr>
            <w:tcW w:w="995" w:type="pct"/>
            <w:vMerge/>
          </w:tcPr>
          <w:p w14:paraId="0A684C9B"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5E4F7E18"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MRD5</w:t>
            </w:r>
          </w:p>
        </w:tc>
        <w:tc>
          <w:tcPr>
            <w:tcW w:w="496" w:type="pct"/>
            <w:tcBorders>
              <w:top w:val="nil"/>
              <w:left w:val="nil"/>
              <w:bottom w:val="nil"/>
              <w:right w:val="nil"/>
            </w:tcBorders>
            <w:shd w:val="clear" w:color="auto" w:fill="auto"/>
          </w:tcPr>
          <w:p w14:paraId="2AA549DE"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0.818</w:t>
            </w:r>
          </w:p>
        </w:tc>
        <w:tc>
          <w:tcPr>
            <w:tcW w:w="974" w:type="pct"/>
            <w:vMerge/>
            <w:shd w:val="clear" w:color="auto" w:fill="auto"/>
          </w:tcPr>
          <w:p w14:paraId="220F99C0"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4B8A14E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0B506D3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35AE1D83" w14:textId="77777777" w:rsidTr="001D4CAB">
        <w:trPr>
          <w:trHeight w:hRule="exact" w:val="284"/>
          <w:jc w:val="center"/>
        </w:trPr>
        <w:tc>
          <w:tcPr>
            <w:tcW w:w="995" w:type="pct"/>
            <w:vMerge/>
          </w:tcPr>
          <w:p w14:paraId="4252B4C8"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79EE21E3"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MRD6</w:t>
            </w:r>
          </w:p>
        </w:tc>
        <w:tc>
          <w:tcPr>
            <w:tcW w:w="496" w:type="pct"/>
            <w:tcBorders>
              <w:top w:val="nil"/>
              <w:left w:val="nil"/>
              <w:bottom w:val="nil"/>
              <w:right w:val="nil"/>
            </w:tcBorders>
            <w:shd w:val="clear" w:color="auto" w:fill="auto"/>
          </w:tcPr>
          <w:p w14:paraId="3F96FB60"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0.818</w:t>
            </w:r>
          </w:p>
        </w:tc>
        <w:tc>
          <w:tcPr>
            <w:tcW w:w="974" w:type="pct"/>
            <w:vMerge/>
            <w:shd w:val="clear" w:color="auto" w:fill="auto"/>
          </w:tcPr>
          <w:p w14:paraId="1E3659B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261D3C3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A9AF4C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7BFD4B1A" w14:textId="77777777" w:rsidTr="001D4CAB">
        <w:trPr>
          <w:trHeight w:hRule="exact" w:val="284"/>
          <w:jc w:val="center"/>
        </w:trPr>
        <w:tc>
          <w:tcPr>
            <w:tcW w:w="995" w:type="pct"/>
            <w:vMerge/>
          </w:tcPr>
          <w:p w14:paraId="73AEF78A"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1A5B57E1"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MRD7</w:t>
            </w:r>
          </w:p>
        </w:tc>
        <w:tc>
          <w:tcPr>
            <w:tcW w:w="496" w:type="pct"/>
            <w:tcBorders>
              <w:top w:val="nil"/>
              <w:left w:val="nil"/>
              <w:bottom w:val="nil"/>
              <w:right w:val="nil"/>
            </w:tcBorders>
            <w:shd w:val="clear" w:color="auto" w:fill="auto"/>
          </w:tcPr>
          <w:p w14:paraId="3D471833"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0.778</w:t>
            </w:r>
          </w:p>
        </w:tc>
        <w:tc>
          <w:tcPr>
            <w:tcW w:w="974" w:type="pct"/>
            <w:vMerge/>
            <w:shd w:val="clear" w:color="auto" w:fill="auto"/>
          </w:tcPr>
          <w:p w14:paraId="6B781E9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A3B4ED0"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504B836A"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5F342D2A" w14:textId="77777777" w:rsidTr="001D4CAB">
        <w:trPr>
          <w:trHeight w:hRule="exact" w:val="284"/>
          <w:jc w:val="center"/>
        </w:trPr>
        <w:tc>
          <w:tcPr>
            <w:tcW w:w="995" w:type="pct"/>
            <w:vMerge/>
          </w:tcPr>
          <w:p w14:paraId="3F371D3B"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06932C8"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MRD8</w:t>
            </w:r>
          </w:p>
        </w:tc>
        <w:tc>
          <w:tcPr>
            <w:tcW w:w="496" w:type="pct"/>
            <w:tcBorders>
              <w:top w:val="nil"/>
              <w:left w:val="nil"/>
              <w:bottom w:val="nil"/>
              <w:right w:val="nil"/>
            </w:tcBorders>
            <w:shd w:val="clear" w:color="auto" w:fill="auto"/>
          </w:tcPr>
          <w:p w14:paraId="1ECDEE09"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0.781</w:t>
            </w:r>
          </w:p>
        </w:tc>
        <w:tc>
          <w:tcPr>
            <w:tcW w:w="974" w:type="pct"/>
            <w:vMerge/>
            <w:shd w:val="clear" w:color="auto" w:fill="auto"/>
          </w:tcPr>
          <w:p w14:paraId="5D319EC4"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53A4BAB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719AEAF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7E74F65" w14:textId="77777777" w:rsidTr="001D4CAB">
        <w:trPr>
          <w:trHeight w:hRule="exact" w:val="284"/>
          <w:jc w:val="center"/>
        </w:trPr>
        <w:tc>
          <w:tcPr>
            <w:tcW w:w="995" w:type="pct"/>
            <w:vMerge w:val="restart"/>
          </w:tcPr>
          <w:p w14:paraId="6FB589C8"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Cost Advantage (CSA)</w:t>
            </w:r>
          </w:p>
        </w:tc>
        <w:tc>
          <w:tcPr>
            <w:tcW w:w="979" w:type="pct"/>
            <w:shd w:val="clear" w:color="auto" w:fill="auto"/>
          </w:tcPr>
          <w:p w14:paraId="2273C295"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CSA1</w:t>
            </w:r>
          </w:p>
        </w:tc>
        <w:tc>
          <w:tcPr>
            <w:tcW w:w="496" w:type="pct"/>
            <w:tcBorders>
              <w:top w:val="nil"/>
              <w:left w:val="nil"/>
              <w:bottom w:val="nil"/>
              <w:right w:val="nil"/>
            </w:tcBorders>
            <w:shd w:val="clear" w:color="auto" w:fill="auto"/>
          </w:tcPr>
          <w:p w14:paraId="4DFC8A98"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0.747</w:t>
            </w:r>
          </w:p>
        </w:tc>
        <w:tc>
          <w:tcPr>
            <w:tcW w:w="974" w:type="pct"/>
            <w:vMerge w:val="restart"/>
            <w:tcBorders>
              <w:top w:val="nil"/>
              <w:left w:val="nil"/>
              <w:bottom w:val="nil"/>
              <w:right w:val="nil"/>
            </w:tcBorders>
            <w:shd w:val="clear" w:color="auto" w:fill="auto"/>
          </w:tcPr>
          <w:p w14:paraId="6C5DD975"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0.582</w:t>
            </w:r>
          </w:p>
        </w:tc>
        <w:tc>
          <w:tcPr>
            <w:tcW w:w="870" w:type="pct"/>
            <w:vMerge w:val="restart"/>
            <w:tcBorders>
              <w:top w:val="nil"/>
              <w:left w:val="nil"/>
              <w:bottom w:val="nil"/>
              <w:right w:val="nil"/>
            </w:tcBorders>
            <w:shd w:val="clear" w:color="auto" w:fill="auto"/>
          </w:tcPr>
          <w:p w14:paraId="676C6173"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0.907</w:t>
            </w:r>
          </w:p>
        </w:tc>
        <w:tc>
          <w:tcPr>
            <w:tcW w:w="686" w:type="pct"/>
            <w:vMerge w:val="restart"/>
            <w:tcBorders>
              <w:top w:val="nil"/>
              <w:left w:val="nil"/>
              <w:bottom w:val="nil"/>
              <w:right w:val="nil"/>
            </w:tcBorders>
            <w:shd w:val="clear" w:color="auto" w:fill="auto"/>
          </w:tcPr>
          <w:p w14:paraId="43E37409"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0.879</w:t>
            </w:r>
          </w:p>
        </w:tc>
      </w:tr>
      <w:tr w:rsidR="001D4CAB" w:rsidRPr="003071DB" w14:paraId="56436994" w14:textId="77777777" w:rsidTr="001D4CAB">
        <w:trPr>
          <w:trHeight w:hRule="exact" w:val="284"/>
          <w:jc w:val="center"/>
        </w:trPr>
        <w:tc>
          <w:tcPr>
            <w:tcW w:w="995" w:type="pct"/>
            <w:vMerge/>
          </w:tcPr>
          <w:p w14:paraId="4FDD8C2A"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01570320"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CSA2</w:t>
            </w:r>
          </w:p>
        </w:tc>
        <w:tc>
          <w:tcPr>
            <w:tcW w:w="496" w:type="pct"/>
            <w:tcBorders>
              <w:top w:val="nil"/>
              <w:left w:val="nil"/>
              <w:bottom w:val="nil"/>
              <w:right w:val="nil"/>
            </w:tcBorders>
            <w:shd w:val="clear" w:color="auto" w:fill="auto"/>
          </w:tcPr>
          <w:p w14:paraId="021F8A44"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0.776</w:t>
            </w:r>
          </w:p>
        </w:tc>
        <w:tc>
          <w:tcPr>
            <w:tcW w:w="974" w:type="pct"/>
            <w:vMerge/>
            <w:shd w:val="clear" w:color="auto" w:fill="auto"/>
          </w:tcPr>
          <w:p w14:paraId="0F08098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42634A10"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761D1F3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11CF2F3A" w14:textId="77777777" w:rsidTr="001D4CAB">
        <w:trPr>
          <w:trHeight w:hRule="exact" w:val="284"/>
          <w:jc w:val="center"/>
        </w:trPr>
        <w:tc>
          <w:tcPr>
            <w:tcW w:w="995" w:type="pct"/>
            <w:vMerge/>
          </w:tcPr>
          <w:p w14:paraId="7336427B"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03A16239"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CSA3</w:t>
            </w:r>
          </w:p>
        </w:tc>
        <w:tc>
          <w:tcPr>
            <w:tcW w:w="496" w:type="pct"/>
            <w:tcBorders>
              <w:top w:val="nil"/>
              <w:left w:val="nil"/>
              <w:bottom w:val="nil"/>
              <w:right w:val="nil"/>
            </w:tcBorders>
            <w:shd w:val="clear" w:color="auto" w:fill="auto"/>
          </w:tcPr>
          <w:p w14:paraId="6141C9CB"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0.839</w:t>
            </w:r>
          </w:p>
        </w:tc>
        <w:tc>
          <w:tcPr>
            <w:tcW w:w="974" w:type="pct"/>
            <w:vMerge/>
            <w:shd w:val="clear" w:color="auto" w:fill="auto"/>
          </w:tcPr>
          <w:p w14:paraId="33E76D94"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506391C5"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16DC0597"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64F0C1F" w14:textId="77777777" w:rsidTr="001D4CAB">
        <w:trPr>
          <w:trHeight w:hRule="exact" w:val="284"/>
          <w:jc w:val="center"/>
        </w:trPr>
        <w:tc>
          <w:tcPr>
            <w:tcW w:w="995" w:type="pct"/>
            <w:vMerge/>
          </w:tcPr>
          <w:p w14:paraId="54536E7B"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1FC2372F"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strike/>
                <w:color w:val="000000"/>
                <w:sz w:val="20"/>
                <w:szCs w:val="20"/>
              </w:rPr>
              <w:t>CSA4</w:t>
            </w:r>
          </w:p>
        </w:tc>
        <w:tc>
          <w:tcPr>
            <w:tcW w:w="496" w:type="pct"/>
            <w:shd w:val="clear" w:color="auto" w:fill="auto"/>
          </w:tcPr>
          <w:p w14:paraId="78CBB906"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0.390</w:t>
            </w:r>
            <w:r w:rsidRPr="003071DB">
              <w:rPr>
                <w:rFonts w:ascii="Times New Roman" w:eastAsia="Times New Roman" w:hAnsi="Times New Roman" w:cs="Times New Roman"/>
                <w:sz w:val="20"/>
                <w:szCs w:val="20"/>
                <w:vertAlign w:val="superscript"/>
              </w:rPr>
              <w:t>c</w:t>
            </w:r>
          </w:p>
        </w:tc>
        <w:tc>
          <w:tcPr>
            <w:tcW w:w="974" w:type="pct"/>
            <w:vMerge/>
            <w:shd w:val="clear" w:color="auto" w:fill="auto"/>
          </w:tcPr>
          <w:p w14:paraId="3A8608C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430C706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F41B1C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3F01F10" w14:textId="77777777" w:rsidTr="001D4CAB">
        <w:trPr>
          <w:trHeight w:hRule="exact" w:val="284"/>
          <w:jc w:val="center"/>
        </w:trPr>
        <w:tc>
          <w:tcPr>
            <w:tcW w:w="995" w:type="pct"/>
            <w:vMerge/>
          </w:tcPr>
          <w:p w14:paraId="4190C466"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69CB4D4D"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CSA5</w:t>
            </w:r>
          </w:p>
        </w:tc>
        <w:tc>
          <w:tcPr>
            <w:tcW w:w="496" w:type="pct"/>
            <w:tcBorders>
              <w:top w:val="nil"/>
              <w:left w:val="nil"/>
              <w:bottom w:val="nil"/>
              <w:right w:val="nil"/>
            </w:tcBorders>
            <w:shd w:val="clear" w:color="auto" w:fill="auto"/>
          </w:tcPr>
          <w:p w14:paraId="3761716B"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0.768</w:t>
            </w:r>
          </w:p>
        </w:tc>
        <w:tc>
          <w:tcPr>
            <w:tcW w:w="974" w:type="pct"/>
            <w:vMerge/>
            <w:shd w:val="clear" w:color="auto" w:fill="auto"/>
          </w:tcPr>
          <w:p w14:paraId="3048E5A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779FBC1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4600B36C"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1A567496" w14:textId="77777777" w:rsidTr="001D4CAB">
        <w:trPr>
          <w:trHeight w:hRule="exact" w:val="284"/>
          <w:jc w:val="center"/>
        </w:trPr>
        <w:tc>
          <w:tcPr>
            <w:tcW w:w="995" w:type="pct"/>
            <w:vMerge/>
          </w:tcPr>
          <w:p w14:paraId="4DE460B5"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D5EECED"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CSA6</w:t>
            </w:r>
          </w:p>
        </w:tc>
        <w:tc>
          <w:tcPr>
            <w:tcW w:w="496" w:type="pct"/>
            <w:tcBorders>
              <w:top w:val="nil"/>
              <w:left w:val="nil"/>
              <w:bottom w:val="nil"/>
              <w:right w:val="nil"/>
            </w:tcBorders>
            <w:shd w:val="clear" w:color="auto" w:fill="auto"/>
          </w:tcPr>
          <w:p w14:paraId="4DB40C86"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0.689</w:t>
            </w:r>
          </w:p>
        </w:tc>
        <w:tc>
          <w:tcPr>
            <w:tcW w:w="974" w:type="pct"/>
            <w:vMerge/>
            <w:shd w:val="clear" w:color="auto" w:fill="auto"/>
          </w:tcPr>
          <w:p w14:paraId="0F515503"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3E370FE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616928F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547F580" w14:textId="77777777" w:rsidTr="001D4CAB">
        <w:trPr>
          <w:trHeight w:hRule="exact" w:val="284"/>
          <w:jc w:val="center"/>
        </w:trPr>
        <w:tc>
          <w:tcPr>
            <w:tcW w:w="995" w:type="pct"/>
            <w:vMerge/>
          </w:tcPr>
          <w:p w14:paraId="01C36FF2"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1AA3509"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CSA7</w:t>
            </w:r>
          </w:p>
        </w:tc>
        <w:tc>
          <w:tcPr>
            <w:tcW w:w="496" w:type="pct"/>
            <w:tcBorders>
              <w:top w:val="nil"/>
              <w:left w:val="nil"/>
              <w:bottom w:val="nil"/>
              <w:right w:val="nil"/>
            </w:tcBorders>
            <w:shd w:val="clear" w:color="auto" w:fill="auto"/>
          </w:tcPr>
          <w:p w14:paraId="39C174DC"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0.716</w:t>
            </w:r>
          </w:p>
        </w:tc>
        <w:tc>
          <w:tcPr>
            <w:tcW w:w="974" w:type="pct"/>
            <w:vMerge/>
            <w:shd w:val="clear" w:color="auto" w:fill="auto"/>
          </w:tcPr>
          <w:p w14:paraId="4DACFD8E"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0087FE11"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7C2A7E9B"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2DFBF13E" w14:textId="77777777" w:rsidTr="001D4CAB">
        <w:trPr>
          <w:trHeight w:hRule="exact" w:val="423"/>
          <w:jc w:val="center"/>
        </w:trPr>
        <w:tc>
          <w:tcPr>
            <w:tcW w:w="995" w:type="pct"/>
            <w:vMerge/>
          </w:tcPr>
          <w:p w14:paraId="34A1F1D0"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p>
        </w:tc>
        <w:tc>
          <w:tcPr>
            <w:tcW w:w="979" w:type="pct"/>
            <w:shd w:val="clear" w:color="auto" w:fill="auto"/>
          </w:tcPr>
          <w:p w14:paraId="43C688E3" w14:textId="77777777" w:rsidR="001D4CAB" w:rsidRPr="003071DB" w:rsidRDefault="001D4CAB" w:rsidP="001D4CAB">
            <w:pPr>
              <w:spacing w:after="0" w:line="240" w:lineRule="auto"/>
              <w:jc w:val="left"/>
              <w:rPr>
                <w:rFonts w:ascii="Times New Roman" w:eastAsia="Times New Roman" w:hAnsi="Times New Roman" w:cs="Times New Roman"/>
                <w:color w:val="000000"/>
                <w:sz w:val="20"/>
                <w:szCs w:val="20"/>
              </w:rPr>
            </w:pPr>
            <w:r w:rsidRPr="003071DB">
              <w:rPr>
                <w:rFonts w:ascii="Times New Roman" w:eastAsia="Times New Roman" w:hAnsi="Times New Roman" w:cs="Times New Roman"/>
                <w:color w:val="000000"/>
                <w:sz w:val="20"/>
                <w:szCs w:val="20"/>
              </w:rPr>
              <w:t>CSA8</w:t>
            </w:r>
          </w:p>
        </w:tc>
        <w:tc>
          <w:tcPr>
            <w:tcW w:w="496" w:type="pct"/>
            <w:tcBorders>
              <w:top w:val="nil"/>
              <w:left w:val="nil"/>
              <w:bottom w:val="nil"/>
              <w:right w:val="nil"/>
            </w:tcBorders>
            <w:shd w:val="clear" w:color="auto" w:fill="auto"/>
          </w:tcPr>
          <w:p w14:paraId="327E3B84"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0.796</w:t>
            </w:r>
          </w:p>
        </w:tc>
        <w:tc>
          <w:tcPr>
            <w:tcW w:w="974" w:type="pct"/>
            <w:vMerge/>
            <w:shd w:val="clear" w:color="auto" w:fill="auto"/>
          </w:tcPr>
          <w:p w14:paraId="2FBE02A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2777C5D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38EE6DED"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r w:rsidR="001D4CAB" w:rsidRPr="003071DB" w14:paraId="002828F1" w14:textId="77777777" w:rsidTr="001D4CAB">
        <w:trPr>
          <w:trHeight w:hRule="exact" w:val="720"/>
          <w:jc w:val="center"/>
        </w:trPr>
        <w:tc>
          <w:tcPr>
            <w:tcW w:w="995" w:type="pct"/>
            <w:vMerge w:val="restart"/>
          </w:tcPr>
          <w:p w14:paraId="3562B0B0"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Competitive Advantage (CMA)</w:t>
            </w:r>
          </w:p>
        </w:tc>
        <w:tc>
          <w:tcPr>
            <w:tcW w:w="979" w:type="pct"/>
          </w:tcPr>
          <w:p w14:paraId="26212F9F"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Market Differentiation (MRD)</w:t>
            </w:r>
          </w:p>
        </w:tc>
        <w:tc>
          <w:tcPr>
            <w:tcW w:w="496" w:type="pct"/>
            <w:shd w:val="clear" w:color="auto" w:fill="auto"/>
          </w:tcPr>
          <w:p w14:paraId="622CBEE0"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0.912</w:t>
            </w:r>
          </w:p>
        </w:tc>
        <w:tc>
          <w:tcPr>
            <w:tcW w:w="974" w:type="pct"/>
            <w:vMerge w:val="restart"/>
            <w:tcBorders>
              <w:top w:val="nil"/>
              <w:left w:val="nil"/>
              <w:bottom w:val="nil"/>
              <w:right w:val="nil"/>
            </w:tcBorders>
            <w:shd w:val="clear" w:color="auto" w:fill="auto"/>
          </w:tcPr>
          <w:p w14:paraId="69A38897"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0.831</w:t>
            </w:r>
          </w:p>
        </w:tc>
        <w:tc>
          <w:tcPr>
            <w:tcW w:w="870" w:type="pct"/>
            <w:vMerge w:val="restart"/>
            <w:tcBorders>
              <w:top w:val="nil"/>
              <w:left w:val="nil"/>
              <w:bottom w:val="nil"/>
              <w:right w:val="nil"/>
            </w:tcBorders>
            <w:shd w:val="clear" w:color="auto" w:fill="auto"/>
          </w:tcPr>
          <w:p w14:paraId="41BBF44E"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0.908</w:t>
            </w:r>
          </w:p>
        </w:tc>
        <w:tc>
          <w:tcPr>
            <w:tcW w:w="686" w:type="pct"/>
            <w:vMerge w:val="restart"/>
            <w:tcBorders>
              <w:top w:val="nil"/>
              <w:left w:val="nil"/>
              <w:bottom w:val="nil"/>
              <w:right w:val="nil"/>
            </w:tcBorders>
            <w:shd w:val="clear" w:color="auto" w:fill="auto"/>
          </w:tcPr>
          <w:p w14:paraId="629819F1" w14:textId="77777777" w:rsidR="001D4CAB" w:rsidRPr="003071DB" w:rsidRDefault="001D4CAB" w:rsidP="001D4CAB">
            <w:pPr>
              <w:spacing w:after="0" w:line="240" w:lineRule="auto"/>
              <w:jc w:val="center"/>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0.797</w:t>
            </w:r>
          </w:p>
        </w:tc>
      </w:tr>
      <w:tr w:rsidR="001D4CAB" w:rsidRPr="003071DB" w14:paraId="1E01F029" w14:textId="77777777" w:rsidTr="001D4CAB">
        <w:trPr>
          <w:trHeight w:hRule="exact" w:val="477"/>
          <w:jc w:val="center"/>
        </w:trPr>
        <w:tc>
          <w:tcPr>
            <w:tcW w:w="995" w:type="pct"/>
            <w:vMerge/>
          </w:tcPr>
          <w:p w14:paraId="1FB758BB" w14:textId="77777777" w:rsidR="001D4CAB" w:rsidRPr="003071DB" w:rsidRDefault="001D4CAB" w:rsidP="001D4CAB">
            <w:pPr>
              <w:spacing w:after="0" w:line="240" w:lineRule="auto"/>
              <w:jc w:val="left"/>
              <w:rPr>
                <w:rFonts w:ascii="Times New Roman" w:eastAsia="Calibri" w:hAnsi="Times New Roman" w:cs="Times New Roman"/>
                <w:b/>
                <w:bCs/>
                <w:i/>
                <w:iCs/>
                <w:color w:val="000000"/>
                <w:sz w:val="20"/>
                <w:szCs w:val="20"/>
              </w:rPr>
            </w:pPr>
          </w:p>
        </w:tc>
        <w:tc>
          <w:tcPr>
            <w:tcW w:w="979" w:type="pct"/>
          </w:tcPr>
          <w:p w14:paraId="57D3B3BC" w14:textId="77777777" w:rsidR="001D4CAB" w:rsidRPr="003071DB" w:rsidRDefault="001D4CAB" w:rsidP="001D4CAB">
            <w:pPr>
              <w:spacing w:after="0" w:line="240" w:lineRule="auto"/>
              <w:jc w:val="left"/>
              <w:rPr>
                <w:rFonts w:ascii="Times New Roman" w:eastAsia="Calibri" w:hAnsi="Times New Roman" w:cs="Times New Roman"/>
                <w:color w:val="000000"/>
                <w:sz w:val="20"/>
                <w:szCs w:val="20"/>
              </w:rPr>
            </w:pPr>
            <w:r w:rsidRPr="003071DB">
              <w:rPr>
                <w:rFonts w:ascii="Times New Roman" w:eastAsia="Calibri" w:hAnsi="Times New Roman" w:cs="Times New Roman"/>
                <w:color w:val="000000"/>
                <w:sz w:val="20"/>
                <w:szCs w:val="20"/>
              </w:rPr>
              <w:t>Cost Advantage (CSA)</w:t>
            </w:r>
          </w:p>
        </w:tc>
        <w:tc>
          <w:tcPr>
            <w:tcW w:w="496" w:type="pct"/>
            <w:shd w:val="clear" w:color="auto" w:fill="auto"/>
          </w:tcPr>
          <w:p w14:paraId="6FA30531" w14:textId="77777777" w:rsidR="001D4CAB" w:rsidRPr="003071DB" w:rsidRDefault="001D4CAB" w:rsidP="001D4CAB">
            <w:pPr>
              <w:spacing w:after="0" w:line="240" w:lineRule="auto"/>
              <w:jc w:val="center"/>
              <w:rPr>
                <w:rFonts w:ascii="Times New Roman" w:eastAsia="Times New Roman" w:hAnsi="Times New Roman" w:cs="Times New Roman"/>
                <w:sz w:val="20"/>
                <w:szCs w:val="20"/>
              </w:rPr>
            </w:pPr>
            <w:r w:rsidRPr="003071DB">
              <w:rPr>
                <w:rFonts w:ascii="Times New Roman" w:eastAsia="Times New Roman" w:hAnsi="Times New Roman" w:cs="Times New Roman"/>
                <w:sz w:val="20"/>
                <w:szCs w:val="20"/>
              </w:rPr>
              <w:t>0.911</w:t>
            </w:r>
          </w:p>
        </w:tc>
        <w:tc>
          <w:tcPr>
            <w:tcW w:w="974" w:type="pct"/>
            <w:vMerge/>
            <w:shd w:val="clear" w:color="auto" w:fill="auto"/>
          </w:tcPr>
          <w:p w14:paraId="5C0B1718"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870" w:type="pct"/>
            <w:vMerge/>
            <w:shd w:val="clear" w:color="auto" w:fill="auto"/>
          </w:tcPr>
          <w:p w14:paraId="3081DBF2"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c>
          <w:tcPr>
            <w:tcW w:w="686" w:type="pct"/>
            <w:vMerge/>
            <w:shd w:val="clear" w:color="auto" w:fill="auto"/>
          </w:tcPr>
          <w:p w14:paraId="00DF9FCB" w14:textId="77777777" w:rsidR="001D4CAB" w:rsidRPr="003071DB" w:rsidRDefault="001D4CAB" w:rsidP="001D4CAB">
            <w:pPr>
              <w:spacing w:after="0" w:line="240" w:lineRule="auto"/>
              <w:jc w:val="center"/>
              <w:rPr>
                <w:rFonts w:ascii="Times New Roman" w:eastAsia="Times New Roman" w:hAnsi="Times New Roman" w:cs="Times New Roman"/>
                <w:color w:val="000000"/>
                <w:sz w:val="20"/>
                <w:szCs w:val="20"/>
              </w:rPr>
            </w:pPr>
          </w:p>
        </w:tc>
      </w:tr>
    </w:tbl>
    <w:p w14:paraId="4B671E53" w14:textId="77777777" w:rsidR="001D4CAB" w:rsidRPr="005C7FE5" w:rsidRDefault="001D4CAB" w:rsidP="001D4CAB">
      <w:pPr>
        <w:autoSpaceDE w:val="0"/>
        <w:autoSpaceDN w:val="0"/>
        <w:adjustRightInd w:val="0"/>
        <w:spacing w:after="0" w:line="240" w:lineRule="auto"/>
        <w:rPr>
          <w:rFonts w:ascii="Times New Roman" w:hAnsi="Times New Roman" w:cs="Times New Roman"/>
          <w:sz w:val="18"/>
          <w:szCs w:val="18"/>
        </w:rPr>
      </w:pPr>
      <w:r w:rsidRPr="005C7FE5">
        <w:rPr>
          <w:rFonts w:ascii="Times New Roman" w:hAnsi="Times New Roman" w:cs="Times New Roman"/>
          <w:sz w:val="18"/>
          <w:szCs w:val="18"/>
        </w:rPr>
        <w:t>Notes:</w:t>
      </w:r>
      <w:r w:rsidRPr="005C7FE5">
        <w:rPr>
          <w:rFonts w:ascii="Times New Roman" w:hAnsi="Times New Roman" w:cs="Times New Roman"/>
          <w:sz w:val="18"/>
          <w:szCs w:val="18"/>
          <w:vertAlign w:val="superscript"/>
        </w:rPr>
        <w:t xml:space="preserve">  a</w:t>
      </w:r>
      <w:r w:rsidRPr="005C7FE5">
        <w:rPr>
          <w:rFonts w:ascii="Times New Roman" w:hAnsi="Times New Roman" w:cs="Times New Roman"/>
          <w:sz w:val="18"/>
          <w:szCs w:val="18"/>
        </w:rPr>
        <w:t xml:space="preserve">: AVE= Σ </w:t>
      </w:r>
      <w:proofErr w:type="spellStart"/>
      <w:r w:rsidRPr="005C7FE5">
        <w:rPr>
          <w:rFonts w:ascii="Times New Roman" w:hAnsi="Times New Roman" w:cs="Times New Roman"/>
          <w:sz w:val="18"/>
          <w:szCs w:val="18"/>
        </w:rPr>
        <w:t>λi</w:t>
      </w:r>
      <w:proofErr w:type="spellEnd"/>
      <w:r w:rsidRPr="005C7FE5">
        <w:rPr>
          <w:rFonts w:ascii="Times New Roman" w:hAnsi="Times New Roman" w:cs="Times New Roman"/>
          <w:sz w:val="18"/>
          <w:szCs w:val="18"/>
        </w:rPr>
        <w:t xml:space="preserve"> 2/ n λ = Standardized Factor Loading n = Number of Item in a Model </w:t>
      </w:r>
    </w:p>
    <w:p w14:paraId="4E033BCB" w14:textId="77777777" w:rsidR="001D4CAB" w:rsidRPr="005C7FE5" w:rsidRDefault="001D4CAB" w:rsidP="001D4CAB">
      <w:pPr>
        <w:autoSpaceDE w:val="0"/>
        <w:autoSpaceDN w:val="0"/>
        <w:adjustRightInd w:val="0"/>
        <w:spacing w:after="0" w:line="240" w:lineRule="auto"/>
        <w:rPr>
          <w:rFonts w:cstheme="majorBidi"/>
          <w:sz w:val="18"/>
          <w:szCs w:val="18"/>
        </w:rPr>
      </w:pPr>
      <w:r w:rsidRPr="005C7FE5">
        <w:rPr>
          <w:rFonts w:ascii="Times New Roman" w:hAnsi="Times New Roman" w:cs="Times New Roman"/>
          <w:sz w:val="18"/>
          <w:szCs w:val="18"/>
        </w:rPr>
        <w:t xml:space="preserve">             </w:t>
      </w:r>
      <w:proofErr w:type="gramStart"/>
      <w:r w:rsidRPr="005C7FE5">
        <w:rPr>
          <w:rFonts w:ascii="Times New Roman" w:hAnsi="Times New Roman" w:cs="Times New Roman"/>
          <w:sz w:val="18"/>
          <w:szCs w:val="18"/>
          <w:vertAlign w:val="superscript"/>
        </w:rPr>
        <w:t>b</w:t>
      </w:r>
      <w:proofErr w:type="gramEnd"/>
      <w:r w:rsidRPr="005C7FE5">
        <w:rPr>
          <w:rFonts w:ascii="Times New Roman" w:hAnsi="Times New Roman" w:cs="Times New Roman"/>
          <w:sz w:val="18"/>
          <w:szCs w:val="18"/>
        </w:rPr>
        <w:t>: CR = (Σ</w:t>
      </w:r>
      <w:r w:rsidRPr="005C7FE5">
        <w:rPr>
          <w:rFonts w:ascii="Cambria Math" w:hAnsi="Cambria Math" w:cs="Cambria Math"/>
          <w:sz w:val="18"/>
          <w:szCs w:val="18"/>
        </w:rPr>
        <w:t xml:space="preserve">ᶄ </w:t>
      </w:r>
      <w:r w:rsidRPr="005C7FE5">
        <w:rPr>
          <w:rFonts w:ascii="Times New Roman" w:hAnsi="Times New Roman" w:cs="Times New Roman"/>
          <w:sz w:val="18"/>
          <w:szCs w:val="18"/>
        </w:rPr>
        <w:t>) 2 / [(Σ</w:t>
      </w:r>
      <w:r w:rsidRPr="005C7FE5">
        <w:rPr>
          <w:rFonts w:ascii="Cambria Math" w:hAnsi="Cambria Math" w:cs="Cambria Math"/>
          <w:sz w:val="18"/>
          <w:szCs w:val="18"/>
        </w:rPr>
        <w:t xml:space="preserve">ᶄ </w:t>
      </w:r>
      <w:r w:rsidRPr="005C7FE5">
        <w:rPr>
          <w:rFonts w:ascii="Times New Roman" w:hAnsi="Times New Roman" w:cs="Times New Roman"/>
          <w:sz w:val="18"/>
          <w:szCs w:val="18"/>
        </w:rPr>
        <w:t xml:space="preserve">) 2 + (Σ l- </w:t>
      </w:r>
      <w:r w:rsidRPr="005C7FE5">
        <w:rPr>
          <w:rFonts w:ascii="Cambria Math" w:hAnsi="Cambria Math" w:cs="Cambria Math"/>
          <w:sz w:val="18"/>
          <w:szCs w:val="18"/>
        </w:rPr>
        <w:t>ᶄ</w:t>
      </w:r>
      <w:r w:rsidRPr="005C7FE5">
        <w:rPr>
          <w:rFonts w:ascii="Times New Roman" w:hAnsi="Times New Roman" w:cs="Times New Roman"/>
          <w:sz w:val="18"/>
          <w:szCs w:val="18"/>
        </w:rPr>
        <w:t xml:space="preserve">2)] </w:t>
      </w:r>
      <w:r w:rsidRPr="005C7FE5">
        <w:rPr>
          <w:rFonts w:ascii="Cambria Math" w:hAnsi="Cambria Math" w:cs="Cambria Math"/>
          <w:sz w:val="18"/>
          <w:szCs w:val="18"/>
        </w:rPr>
        <w:t>ᶄ</w:t>
      </w:r>
      <w:r w:rsidRPr="005C7FE5">
        <w:rPr>
          <w:rFonts w:ascii="Times New Roman" w:hAnsi="Times New Roman" w:cs="Times New Roman"/>
          <w:sz w:val="18"/>
          <w:szCs w:val="18"/>
        </w:rPr>
        <w:t>2 = Factor loading of every item</w:t>
      </w:r>
    </w:p>
    <w:p w14:paraId="6D19B09D" w14:textId="77777777" w:rsidR="001D4CAB" w:rsidRPr="005C7FE5" w:rsidRDefault="001D4CAB" w:rsidP="001D4CAB">
      <w:pPr>
        <w:spacing w:after="0" w:line="240" w:lineRule="auto"/>
        <w:jc w:val="left"/>
        <w:rPr>
          <w:rFonts w:ascii="Times New Roman" w:hAnsi="Times New Roman" w:cs="Times New Roman"/>
          <w:sz w:val="18"/>
          <w:szCs w:val="18"/>
        </w:rPr>
      </w:pPr>
      <w:r w:rsidRPr="005C7FE5">
        <w:rPr>
          <w:rFonts w:ascii="Times New Roman" w:hAnsi="Times New Roman" w:cs="Times New Roman"/>
          <w:sz w:val="18"/>
          <w:szCs w:val="18"/>
          <w:vertAlign w:val="superscript"/>
        </w:rPr>
        <w:t xml:space="preserve">                  </w:t>
      </w:r>
      <w:proofErr w:type="gramStart"/>
      <w:r w:rsidRPr="005C7FE5">
        <w:rPr>
          <w:rFonts w:ascii="Times New Roman" w:hAnsi="Times New Roman" w:cs="Times New Roman"/>
          <w:sz w:val="18"/>
          <w:szCs w:val="18"/>
          <w:vertAlign w:val="superscript"/>
        </w:rPr>
        <w:t>c</w:t>
      </w:r>
      <w:proofErr w:type="gramEnd"/>
      <w:r w:rsidRPr="005C7FE5">
        <w:rPr>
          <w:rFonts w:ascii="Times New Roman" w:hAnsi="Times New Roman" w:cs="Times New Roman"/>
          <w:sz w:val="18"/>
          <w:szCs w:val="18"/>
          <w:vertAlign w:val="superscript"/>
        </w:rPr>
        <w:t xml:space="preserve"> </w:t>
      </w:r>
      <w:r w:rsidRPr="005C7FE5">
        <w:rPr>
          <w:rFonts w:ascii="Times New Roman" w:hAnsi="Times New Roman" w:cs="Times New Roman"/>
          <w:sz w:val="18"/>
          <w:szCs w:val="18"/>
        </w:rPr>
        <w:t>denotes for discarded item due to insufficient factor loading that was below cut-off 0.6</w:t>
      </w:r>
    </w:p>
    <w:p w14:paraId="0D995706" w14:textId="77777777" w:rsidR="001D4CAB" w:rsidRPr="00F96522" w:rsidRDefault="001D4CAB" w:rsidP="001D4CAB">
      <w:pPr>
        <w:spacing w:line="240" w:lineRule="auto"/>
        <w:rPr>
          <w:rFonts w:ascii="Times New Roman" w:hAnsi="Times New Roman" w:cs="Times New Roman"/>
          <w:color w:val="833C0B" w:themeColor="accent2" w:themeShade="80"/>
          <w:lang w:eastAsia="en-GB"/>
        </w:rPr>
      </w:pPr>
    </w:p>
    <w:p w14:paraId="4EAC2884" w14:textId="77777777" w:rsidR="001D4CAB" w:rsidRPr="00F0155A" w:rsidRDefault="001D4CAB" w:rsidP="001D4CAB">
      <w:pPr>
        <w:spacing w:line="240" w:lineRule="auto"/>
        <w:rPr>
          <w:rFonts w:ascii="Times New Roman" w:hAnsi="Times New Roman" w:cs="Times New Roman"/>
          <w:lang w:val="en-GB" w:eastAsia="en-GB"/>
        </w:rPr>
      </w:pPr>
      <w:bookmarkStart w:id="3" w:name="_Ref460315360"/>
      <w:r w:rsidRPr="00F0155A">
        <w:rPr>
          <w:rFonts w:ascii="Times New Roman" w:hAnsi="Times New Roman" w:cs="Times New Roman"/>
          <w:lang w:val="en-GB" w:eastAsia="en-GB"/>
        </w:rPr>
        <w:t>In this study, the convergent validity of the measures was tested. Convergent validity is the degree to which multiple attempts to measure the same concept in agreement. The factor loadings, composite reliability and average variance extracted were used to assess convergence validity</w:t>
      </w:r>
      <w:r w:rsidRPr="00F0155A">
        <w:rPr>
          <w:rFonts w:ascii="Times New Roman" w:hAnsi="Times New Roman" w:cs="Times New Roman"/>
        </w:rPr>
        <w:t xml:space="preserve"> </w:t>
      </w:r>
      <w:r w:rsidRPr="00F0155A">
        <w:rPr>
          <w:rFonts w:ascii="Times New Roman" w:hAnsi="Times New Roman" w:cs="Times New Roman"/>
          <w:lang w:val="en-GB" w:eastAsia="en-GB"/>
        </w:rPr>
        <w:t xml:space="preserve">as suggested by </w:t>
      </w:r>
      <w:r w:rsidRPr="00F0155A">
        <w:rPr>
          <w:rFonts w:ascii="Times New Roman" w:hAnsi="Times New Roman" w:cs="Times New Roman"/>
          <w:lang w:val="en-GB" w:eastAsia="en-GB"/>
        </w:rPr>
        <w:fldChar w:fldCharType="begin" w:fldLock="1"/>
      </w:r>
      <w:r w:rsidRPr="00F0155A">
        <w:rPr>
          <w:rFonts w:ascii="Times New Roman" w:hAnsi="Times New Roman" w:cs="Times New Roman"/>
          <w:lang w:val="en-GB" w:eastAsia="en-GB"/>
        </w:rPr>
        <w:instrText>ADDIN CSL_CITATION { "citationItems" : [ { "id" : "ITEM-1", "itemData" : { "author" : [ { "dropping-particle" : "", "family" : "Hair", "given" : "Joseph F.", "non-dropping-particle" : "", "parse-names" : false, "suffix" : "" }, { "dropping-particle" : "", "family" : "Black", "given" : "William C.", "non-dropping-particle" : "", "parse-names" : false, "suffix" : "" }, { "dropping-particle" : "", "family" : "Babin", "given" : "Barry J.", "non-dropping-particle" : "", "parse-names" : false, "suffix" : "" }, { "dropping-particle" : "", "family" : "Anderson", "given" : "Rolhp E.", "non-dropping-particle" : "", "parse-names" : false, "suffix" : "" } ], "edition" : "7th ed", "id" : "ITEM-1", "issued" : { "date-parts" : [ [ "2010" ] ] }, "publisher" : "Prentice prentice Hall", "publisher-place" : "New York", "title" : "multivariate Data analysis", "type" : "book" }, "uris" : [ "http://www.mendeley.com/documents/?uuid=b79d9b73-eb35-497f-b80c-4033e2c5e795" ] } ], "mendeley" : { "formattedCitation" : "(Hair, Black, Babin, &amp; Anderson, 2010)", "manualFormatting" : "Hair, Black, Babin, &amp; Anderson, (2010)", "plainTextFormattedCitation" : "(Hair, Black, Babin, &amp; Anderson, 2010)", "previouslyFormattedCitation" : "(Hair, Black, Babin, &amp; Anderson, 2010)" }, "properties" : { "noteIndex" : 0 }, "schema" : "https://github.com/citation-style-language/schema/raw/master/csl-citation.json" }</w:instrText>
      </w:r>
      <w:r w:rsidRPr="00F0155A">
        <w:rPr>
          <w:rFonts w:ascii="Times New Roman" w:hAnsi="Times New Roman" w:cs="Times New Roman"/>
          <w:lang w:val="en-GB" w:eastAsia="en-GB"/>
        </w:rPr>
        <w:fldChar w:fldCharType="separate"/>
      </w:r>
      <w:r w:rsidRPr="00F0155A">
        <w:rPr>
          <w:rFonts w:ascii="Times New Roman" w:hAnsi="Times New Roman" w:cs="Times New Roman"/>
          <w:noProof/>
          <w:lang w:val="en-GB" w:eastAsia="en-GB"/>
        </w:rPr>
        <w:t>Hair, Black, Babin, &amp; Anderson, (2010)</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After discarding 7 items (i.e., PRA5, RSK6, RGL2, RGL3, RGL7, MRD1 and CSA4) due to insufficient factor loading below 0.6, the factor loadings of all remaining items range from 0.689 to 0.912, exceeded the threshold of 0.6 as recommended by Hair et al, 2006. </w:t>
      </w:r>
    </w:p>
    <w:p w14:paraId="3D9B37A8" w14:textId="77777777" w:rsidR="001D4CAB" w:rsidRPr="00F0155A" w:rsidRDefault="001D4CAB" w:rsidP="001D4CAB">
      <w:pPr>
        <w:spacing w:line="240" w:lineRule="auto"/>
        <w:rPr>
          <w:rFonts w:ascii="Times New Roman" w:hAnsi="Times New Roman" w:cs="Times New Roman"/>
          <w:lang w:val="en-GB" w:eastAsia="en-GB"/>
        </w:rPr>
      </w:pPr>
      <w:r w:rsidRPr="00F0155A">
        <w:rPr>
          <w:rFonts w:ascii="Times New Roman" w:hAnsi="Times New Roman" w:cs="Times New Roman"/>
          <w:lang w:val="en-GB" w:eastAsia="en-GB"/>
        </w:rPr>
        <w:t xml:space="preserve">The average variance extracted, which reflect the overall amount of variance in the indicators accounted for by the latent construct, were in the range of 0.563 and 0.831 which were all above the recommended value of 0.5 </w:t>
      </w:r>
      <w:r w:rsidRPr="00F0155A">
        <w:rPr>
          <w:rFonts w:ascii="Times New Roman" w:hAnsi="Times New Roman" w:cs="Times New Roman"/>
          <w:lang w:val="en-GB" w:eastAsia="en-GB"/>
        </w:rPr>
        <w:fldChar w:fldCharType="begin" w:fldLock="1"/>
      </w:r>
      <w:r w:rsidRPr="00F0155A">
        <w:rPr>
          <w:rFonts w:ascii="Times New Roman" w:hAnsi="Times New Roman" w:cs="Times New Roman"/>
          <w:lang w:val="en-GB" w:eastAsia="en-GB"/>
        </w:rPr>
        <w:instrText>ADDIN CSL_CITATION { "citationItems" : [ { "id" : "ITEM-1", "itemData" : { "author" : [ { "dropping-particle" : "", "family" : "Hair", "given" : "Joseph F.", "non-dropping-particle" : "", "parse-names" : false, "suffix" : "" }, { "dropping-particle" : "", "family" : "Black", "given" : "William C.", "non-dropping-particle" : "", "parse-names" : false, "suffix" : "" }, { "dropping-particle" : "", "family" : "Babin", "given" : "Barry J.", "non-dropping-particle" : "", "parse-names" : false, "suffix" : "" }, { "dropping-particle" : "", "family" : "Anderson", "given" : "Rolhp E.", "non-dropping-particle" : "", "parse-names" : false, "suffix" : "" } ], "edition" : "7th ed", "id" : "ITEM-1", "issued" : { "date-parts" : [ [ "2010" ] ] }, "publisher" : "Prentice prentice Hall", "publisher-place" : "New York", "title" : "multivariate Data analysis", "type" : "book" }, "uris" : [ "http://www.mendeley.com/documents/?uuid=b79d9b73-eb35-497f-b80c-4033e2c5e795" ] } ], "mendeley" : { "formattedCitation" : "(Hair et al., 2010)", "plainTextFormattedCitation" : "(Hair et al., 2010)", "previouslyFormattedCitation" : "(Hair et al., 2010)" }, "properties" : { "noteIndex" : 0 }, "schema" : "https://github.com/citation-style-language/schema/raw/master/csl-citation.json" }</w:instrText>
      </w:r>
      <w:r w:rsidRPr="00F0155A">
        <w:rPr>
          <w:rFonts w:ascii="Times New Roman" w:hAnsi="Times New Roman" w:cs="Times New Roman"/>
          <w:lang w:val="en-GB" w:eastAsia="en-GB"/>
        </w:rPr>
        <w:fldChar w:fldCharType="separate"/>
      </w:r>
      <w:r w:rsidRPr="00F0155A">
        <w:rPr>
          <w:rFonts w:ascii="Times New Roman" w:hAnsi="Times New Roman" w:cs="Times New Roman"/>
          <w:noProof/>
          <w:lang w:val="en-GB" w:eastAsia="en-GB"/>
        </w:rPr>
        <w:t>(Hair et al., 2010)</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Composite reliability values, which depict the degree to which the construct indicators indicate the latent construct, range from 0.865 to 0.952which exceeded the recommended value of 0.6 </w:t>
      </w:r>
      <w:r w:rsidRPr="00F0155A">
        <w:rPr>
          <w:rFonts w:ascii="Times New Roman" w:hAnsi="Times New Roman" w:cs="Times New Roman"/>
          <w:lang w:val="en-GB" w:eastAsia="en-GB"/>
        </w:rPr>
        <w:fldChar w:fldCharType="begin" w:fldLock="1"/>
      </w:r>
      <w:r w:rsidRPr="00F0155A">
        <w:rPr>
          <w:rFonts w:ascii="Times New Roman" w:hAnsi="Times New Roman" w:cs="Times New Roman"/>
          <w:lang w:val="en-GB" w:eastAsia="en-GB"/>
        </w:rPr>
        <w:instrText>ADDIN CSL_CITATION { "citationItems" : [ { "id" : "ITEM-1", "itemData" : { "author" : [ { "dropping-particle" : "", "family" : "Hair", "given" : "Joseph F.", "non-dropping-particle" : "", "parse-names" : false, "suffix" : "" }, { "dropping-particle" : "", "family" : "Black", "given" : "William C.", "non-dropping-particle" : "", "parse-names" : false, "suffix" : "" }, { "dropping-particle" : "", "family" : "Babin", "given" : "Barry J.", "non-dropping-particle" : "", "parse-names" : false, "suffix" : "" }, { "dropping-particle" : "", "family" : "Anderson", "given" : "Rolhp E.", "non-dropping-particle" : "", "parse-names" : false, "suffix" : "" } ], "edition" : "7th ed", "id" : "ITEM-1", "issued" : { "date-parts" : [ [ "2010" ] ] }, "publisher" : "Prentice prentice Hall", "publisher-place" : "New York", "title" : "multivariate Data analysis", "type" : "book" }, "uris" : [ "http://www.mendeley.com/documents/?uuid=b79d9b73-eb35-497f-b80c-4033e2c5e795" ] } ], "mendeley" : { "formattedCitation" : "(Hair et al., 2010)", "plainTextFormattedCitation" : "(Hair et al., 2010)", "previouslyFormattedCitation" : "(Hair et al., 2010)" }, "properties" : { "noteIndex" : 0 }, "schema" : "https://github.com/citation-style-language/schema/raw/master/csl-citation.json" }</w:instrText>
      </w:r>
      <w:r w:rsidRPr="00F0155A">
        <w:rPr>
          <w:rFonts w:ascii="Times New Roman" w:hAnsi="Times New Roman" w:cs="Times New Roman"/>
          <w:lang w:val="en-GB" w:eastAsia="en-GB"/>
        </w:rPr>
        <w:fldChar w:fldCharType="separate"/>
      </w:r>
      <w:r w:rsidRPr="00F0155A">
        <w:rPr>
          <w:rFonts w:ascii="Times New Roman" w:hAnsi="Times New Roman" w:cs="Times New Roman"/>
          <w:noProof/>
          <w:lang w:val="en-GB" w:eastAsia="en-GB"/>
        </w:rPr>
        <w:t>(Hair et al., 2010)</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In the next step, the inter-item consistency reliability value of </w:t>
      </w:r>
      <w:proofErr w:type="spellStart"/>
      <w:r w:rsidRPr="00F0155A">
        <w:rPr>
          <w:rFonts w:ascii="Times New Roman" w:hAnsi="Times New Roman" w:cs="Times New Roman"/>
          <w:lang w:val="en-GB" w:eastAsia="en-GB"/>
        </w:rPr>
        <w:t>Cronbach</w:t>
      </w:r>
      <w:proofErr w:type="spellEnd"/>
      <w:r w:rsidRPr="00F0155A">
        <w:rPr>
          <w:rFonts w:ascii="Times New Roman" w:hAnsi="Times New Roman" w:cs="Times New Roman"/>
          <w:lang w:val="en-GB" w:eastAsia="en-GB"/>
        </w:rPr>
        <w:t xml:space="preserve"> alpha was used to measure the reliability of the measures. The values range from 0.797 to 0.939 which were above the threshold of 0.7 as suggested by </w:t>
      </w:r>
      <w:r w:rsidRPr="00F0155A">
        <w:rPr>
          <w:rFonts w:ascii="Times New Roman" w:hAnsi="Times New Roman" w:cs="Times New Roman"/>
          <w:lang w:val="en-GB" w:eastAsia="en-GB"/>
        </w:rPr>
        <w:fldChar w:fldCharType="begin" w:fldLock="1"/>
      </w:r>
      <w:r w:rsidRPr="00F0155A">
        <w:rPr>
          <w:rFonts w:ascii="Times New Roman" w:hAnsi="Times New Roman" w:cs="Times New Roman"/>
          <w:lang w:val="en-GB" w:eastAsia="en-GB"/>
        </w:rPr>
        <w:instrText>ADDIN CSL_CITATION { "citationItems" : [ { "id" : "ITEM-1", "itemData" : { "author" : [ { "dropping-particle" : "", "family" : "Nunnally, J.C. and Bernstein", "given" : "I.H", "non-dropping-particle" : "", "parse-names" : false, "suffix" : "" } ], "id" : "ITEM-1", "issued" : { "date-parts" : [ [ "1994" ] ] }, "publisher" : "McGraw-Hill", "publisher-place" : "New York", "title" : "Psychometric Theory", "type" : "book" }, "uris" : [ "http://www.mendeley.com/documents/?uuid=fa622686-dc1d-4c36-ac08-5c583ea0ccc8" ] } ], "mendeley" : { "formattedCitation" : "(Nunnally, J.C. and Bernstein, 1994)", "manualFormatting" : "Nunnally and Bernstein (1994)", "plainTextFormattedCitation" : "(Nunnally, J.C. and Bernstein, 1994)", "previouslyFormattedCitation" : "(Nunnally, J.C. and Bernstein, 1994)" }, "properties" : { "noteIndex" : 0 }, "schema" : "https://github.com/citation-style-language/schema/raw/master/csl-citation.json" }</w:instrText>
      </w:r>
      <w:r w:rsidRPr="00F0155A">
        <w:rPr>
          <w:rFonts w:ascii="Times New Roman" w:hAnsi="Times New Roman" w:cs="Times New Roman"/>
          <w:lang w:val="en-GB" w:eastAsia="en-GB"/>
        </w:rPr>
        <w:fldChar w:fldCharType="separate"/>
      </w:r>
      <w:r w:rsidRPr="00F0155A">
        <w:rPr>
          <w:rFonts w:ascii="Times New Roman" w:hAnsi="Times New Roman" w:cs="Times New Roman"/>
          <w:noProof/>
          <w:lang w:val="en-GB" w:eastAsia="en-GB"/>
        </w:rPr>
        <w:t>Nunnally and Bernstein (1994)</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w:t>
      </w:r>
    </w:p>
    <w:p w14:paraId="06B2EA7F" w14:textId="77777777" w:rsidR="001D4CAB" w:rsidRPr="00F0155A" w:rsidRDefault="001D4CAB" w:rsidP="001D4CAB">
      <w:pPr>
        <w:spacing w:line="240" w:lineRule="auto"/>
        <w:rPr>
          <w:rFonts w:ascii="Times New Roman" w:hAnsi="Times New Roman" w:cs="Times New Roman"/>
          <w:lang w:val="en-GB" w:eastAsia="en-GB"/>
        </w:rPr>
      </w:pPr>
      <w:r w:rsidRPr="00F0155A">
        <w:rPr>
          <w:rFonts w:ascii="Times New Roman" w:hAnsi="Times New Roman" w:cs="Times New Roman"/>
          <w:lang w:val="en-GB" w:eastAsia="en-GB"/>
        </w:rPr>
        <w:t xml:space="preserve">In this study two approaches were used to test the discriminant validity of the constructs. First the correlations between the constructs were examined, which revealed that the correlations between the constructs were all below the threshold 0.85 </w:t>
      </w:r>
      <w:r w:rsidRPr="00F0155A">
        <w:rPr>
          <w:rFonts w:ascii="Times New Roman" w:hAnsi="Times New Roman" w:cs="Times New Roman"/>
          <w:lang w:val="en-GB" w:eastAsia="en-GB"/>
        </w:rPr>
        <w:fldChar w:fldCharType="begin" w:fldLock="1"/>
      </w:r>
      <w:r w:rsidRPr="00F0155A">
        <w:rPr>
          <w:rFonts w:ascii="Times New Roman" w:hAnsi="Times New Roman" w:cs="Times New Roman"/>
          <w:lang w:val="en-GB" w:eastAsia="en-GB"/>
        </w:rPr>
        <w:instrText>ADDIN CSL_CITATION { "citationItems" : [ { "id" : "ITEM-1", "itemData" : { "author" : [ { "dropping-particle" : "", "family" : "Kline", "given" : "Rex B", "non-dropping-particle" : "", "parse-names" : false, "suffix" : "" } ], "container-title" : "Structural Equation Modeling", "edition" : "erd ed", "id" : "ITEM-1", "issued" : { "date-parts" : [ [ "2011" ] ] }, "number-of-pages" : "427", "publisher" : "Guilford Press", "publisher-place" : "New York", "title" : "Principles and practice of structural equation modeling", "type" : "book", "volume" : "156" }, "uris" : [ "http://www.mendeley.com/documents/?uuid=742e9d08-f21a-459a-85d0-1ff658246980" ] } ], "mendeley" : { "formattedCitation" : "(Kline, 2011)", "plainTextFormattedCitation" : "(Kline, 2011)", "previouslyFormattedCitation" : "(Kline, 2011)" }, "properties" : { "noteIndex" : 0 }, "schema" : "https://github.com/citation-style-language/schema/raw/master/csl-citation.json" }</w:instrText>
      </w:r>
      <w:r w:rsidRPr="00F0155A">
        <w:rPr>
          <w:rFonts w:ascii="Times New Roman" w:hAnsi="Times New Roman" w:cs="Times New Roman"/>
          <w:lang w:val="en-GB" w:eastAsia="en-GB"/>
        </w:rPr>
        <w:fldChar w:fldCharType="separate"/>
      </w:r>
      <w:r w:rsidRPr="00F0155A">
        <w:rPr>
          <w:rFonts w:ascii="Times New Roman" w:hAnsi="Times New Roman" w:cs="Times New Roman"/>
          <w:noProof/>
          <w:lang w:val="en-GB" w:eastAsia="en-GB"/>
        </w:rPr>
        <w:t>(Kline, 2011)</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Second, the criterion of </w:t>
      </w:r>
      <w:r w:rsidRPr="00F0155A">
        <w:rPr>
          <w:rFonts w:ascii="Times New Roman" w:hAnsi="Times New Roman" w:cs="Times New Roman"/>
          <w:lang w:val="en-GB" w:eastAsia="en-GB"/>
        </w:rPr>
        <w:fldChar w:fldCharType="begin" w:fldLock="1"/>
      </w:r>
      <w:r w:rsidRPr="00F0155A">
        <w:rPr>
          <w:rFonts w:ascii="Times New Roman" w:hAnsi="Times New Roman" w:cs="Times New Roman"/>
          <w:lang w:val="en-GB" w:eastAsia="en-GB"/>
        </w:rPr>
        <w:instrText>ADDIN CSL_CITATION { "citationItems" : [ { "id" : "ITEM-1", "itemData" : { "author" : [ { "dropping-particle" : "", "family" : "Fornell", "given" : "Claes", "non-dropping-particle" : "", "parse-names" : false, "suffix" : "" }, { "dropping-particle" : "", "family" : "Larcker", "given" : "David F.", "non-dropping-particle" : "", "parse-names" : false, "suffix" : "" } ], "container-title" : "Journal of Marketing Research", "id" : "ITEM-1", "issue" : "1", "issued" : { "date-parts" : [ [ "1981" ] ] }, "page" : "39-50", "title" : "Evaluating Structural Equation Models with Unobservable Variables and Measurement Error", "type" : "article-journal", "volume" : "18" }, "uris" : [ "http://www.mendeley.com/documents/?uuid=304fc6e4-368c-4e0f-b3d0-beb3935fee62" ] } ], "mendeley" : { "formattedCitation" : "(Fornell &amp; Larcker, 1981)", "manualFormatting" : "Fornell &amp; Larcker, (1981)", "plainTextFormattedCitation" : "(Fornell &amp; Larcker, 1981)", "previouslyFormattedCitation" : "(Fornell &amp; Larcker, 1981)" }, "properties" : { "noteIndex" : 0 }, "schema" : "https://github.com/citation-style-language/schema/raw/master/csl-citation.json" }</w:instrText>
      </w:r>
      <w:r w:rsidRPr="00F0155A">
        <w:rPr>
          <w:rFonts w:ascii="Times New Roman" w:hAnsi="Times New Roman" w:cs="Times New Roman"/>
          <w:lang w:val="en-GB" w:eastAsia="en-GB"/>
        </w:rPr>
        <w:fldChar w:fldCharType="separate"/>
      </w:r>
      <w:r w:rsidRPr="00F0155A">
        <w:rPr>
          <w:rFonts w:ascii="Times New Roman" w:hAnsi="Times New Roman" w:cs="Times New Roman"/>
          <w:noProof/>
          <w:lang w:val="en-GB" w:eastAsia="en-GB"/>
        </w:rPr>
        <w:t>Fornell &amp; Larcker, (1981)</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was applied to test whether each construct’s square rooted AVE is greater than its correlations with the remaining constructs. As shown in </w:t>
      </w:r>
      <w:r w:rsidRPr="00F0155A">
        <w:rPr>
          <w:rFonts w:ascii="Times New Roman" w:hAnsi="Times New Roman" w:cs="Times New Roman"/>
          <w:lang w:val="en-GB" w:eastAsia="en-GB"/>
        </w:rPr>
        <w:fldChar w:fldCharType="begin"/>
      </w:r>
      <w:r w:rsidRPr="00F0155A">
        <w:rPr>
          <w:rFonts w:ascii="Times New Roman" w:hAnsi="Times New Roman" w:cs="Times New Roman"/>
          <w:lang w:val="en-GB" w:eastAsia="en-GB"/>
        </w:rPr>
        <w:instrText xml:space="preserve"> REF _Ref460781493 \h  \* MERGEFORMAT </w:instrText>
      </w:r>
      <w:r w:rsidRPr="00F0155A">
        <w:rPr>
          <w:rFonts w:ascii="Times New Roman" w:hAnsi="Times New Roman" w:cs="Times New Roman"/>
          <w:lang w:val="en-GB" w:eastAsia="en-GB"/>
        </w:rPr>
      </w:r>
      <w:r w:rsidRPr="00F0155A">
        <w:rPr>
          <w:rFonts w:ascii="Times New Roman" w:hAnsi="Times New Roman" w:cs="Times New Roman"/>
          <w:lang w:val="en-GB" w:eastAsia="en-GB"/>
        </w:rPr>
        <w:fldChar w:fldCharType="separate"/>
      </w:r>
      <w:r w:rsidR="00102CA7" w:rsidRPr="00F0155A">
        <w:rPr>
          <w:rFonts w:ascii="Times New Roman" w:hAnsi="Times New Roman" w:cs="Times New Roman"/>
        </w:rPr>
        <w:t xml:space="preserve">Table </w:t>
      </w:r>
      <w:r w:rsidR="00102CA7">
        <w:rPr>
          <w:rFonts w:ascii="Times New Roman" w:hAnsi="Times New Roman" w:cs="Times New Roman"/>
          <w:noProof/>
        </w:rPr>
        <w:t>2</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both analyses confirm the discriminant validity of all constructs. In total, the measurement model demonstrated adequate reliability, convergent validity and discriminant validity.</w:t>
      </w:r>
    </w:p>
    <w:p w14:paraId="18DAC209" w14:textId="77777777" w:rsidR="001D4CAB" w:rsidRPr="00F0155A" w:rsidRDefault="001D4CAB" w:rsidP="001D4CAB">
      <w:pPr>
        <w:pStyle w:val="Caption"/>
        <w:keepNext/>
        <w:rPr>
          <w:rFonts w:ascii="Times New Roman" w:hAnsi="Times New Roman" w:cs="Times New Roman"/>
          <w:szCs w:val="22"/>
        </w:rPr>
      </w:pPr>
      <w:bookmarkStart w:id="4" w:name="_Ref460781493"/>
      <w:r w:rsidRPr="00F0155A">
        <w:rPr>
          <w:rFonts w:ascii="Times New Roman" w:hAnsi="Times New Roman" w:cs="Times New Roman"/>
          <w:szCs w:val="22"/>
        </w:rPr>
        <w:t xml:space="preserve">Table </w:t>
      </w:r>
      <w:r w:rsidRPr="00F0155A">
        <w:rPr>
          <w:rFonts w:ascii="Times New Roman" w:hAnsi="Times New Roman" w:cs="Times New Roman"/>
          <w:szCs w:val="22"/>
        </w:rPr>
        <w:fldChar w:fldCharType="begin"/>
      </w:r>
      <w:r w:rsidRPr="00F0155A">
        <w:rPr>
          <w:rFonts w:ascii="Times New Roman" w:hAnsi="Times New Roman" w:cs="Times New Roman"/>
          <w:szCs w:val="22"/>
        </w:rPr>
        <w:instrText xml:space="preserve"> SEQ Table \* ARABIC </w:instrText>
      </w:r>
      <w:r w:rsidRPr="00F0155A">
        <w:rPr>
          <w:rFonts w:ascii="Times New Roman" w:hAnsi="Times New Roman" w:cs="Times New Roman"/>
          <w:szCs w:val="22"/>
        </w:rPr>
        <w:fldChar w:fldCharType="separate"/>
      </w:r>
      <w:r w:rsidR="00102CA7">
        <w:rPr>
          <w:rFonts w:ascii="Times New Roman" w:hAnsi="Times New Roman" w:cs="Times New Roman"/>
          <w:noProof/>
          <w:szCs w:val="22"/>
        </w:rPr>
        <w:t>2</w:t>
      </w:r>
      <w:r w:rsidRPr="00F0155A">
        <w:rPr>
          <w:rFonts w:ascii="Times New Roman" w:hAnsi="Times New Roman" w:cs="Times New Roman"/>
          <w:noProof/>
          <w:szCs w:val="22"/>
        </w:rPr>
        <w:fldChar w:fldCharType="end"/>
      </w:r>
      <w:bookmarkEnd w:id="3"/>
      <w:bookmarkEnd w:id="4"/>
      <w:r w:rsidRPr="00F0155A">
        <w:rPr>
          <w:rFonts w:ascii="Times New Roman" w:hAnsi="Times New Roman" w:cs="Times New Roman"/>
          <w:szCs w:val="22"/>
        </w:rPr>
        <w:t>: Discriminant Validity of Constructs</w:t>
      </w:r>
    </w:p>
    <w:tbl>
      <w:tblPr>
        <w:tblW w:w="5000" w:type="pct"/>
        <w:jc w:val="center"/>
        <w:tblBorders>
          <w:top w:val="single" w:sz="4" w:space="0" w:color="auto"/>
          <w:bottom w:val="single" w:sz="4" w:space="0" w:color="auto"/>
        </w:tblBorders>
        <w:tblLook w:val="04A0" w:firstRow="1" w:lastRow="0" w:firstColumn="1" w:lastColumn="0" w:noHBand="0" w:noVBand="1"/>
      </w:tblPr>
      <w:tblGrid>
        <w:gridCol w:w="3996"/>
        <w:gridCol w:w="1080"/>
        <w:gridCol w:w="1071"/>
        <w:gridCol w:w="1071"/>
        <w:gridCol w:w="1071"/>
        <w:gridCol w:w="1071"/>
      </w:tblGrid>
      <w:tr w:rsidR="001D4CAB" w:rsidRPr="00F0155A" w14:paraId="248208C0" w14:textId="77777777" w:rsidTr="001D4CAB">
        <w:trPr>
          <w:trHeight w:val="397"/>
          <w:jc w:val="center"/>
        </w:trPr>
        <w:tc>
          <w:tcPr>
            <w:tcW w:w="2135" w:type="pct"/>
            <w:tcBorders>
              <w:top w:val="single" w:sz="4" w:space="0" w:color="auto"/>
              <w:bottom w:val="single" w:sz="4" w:space="0" w:color="auto"/>
            </w:tcBorders>
            <w:shd w:val="clear" w:color="auto" w:fill="auto"/>
            <w:noWrap/>
            <w:vAlign w:val="center"/>
            <w:hideMark/>
          </w:tcPr>
          <w:p w14:paraId="1B529A14" w14:textId="77777777" w:rsidR="001D4CAB" w:rsidRPr="00F0155A" w:rsidRDefault="001D4CAB" w:rsidP="001D4CAB">
            <w:pPr>
              <w:spacing w:after="0" w:line="240" w:lineRule="auto"/>
              <w:jc w:val="center"/>
              <w:rPr>
                <w:rFonts w:ascii="Times New Roman" w:eastAsia="Times New Roman" w:hAnsi="Times New Roman" w:cs="Times New Roman"/>
                <w:color w:val="000000"/>
              </w:rPr>
            </w:pPr>
          </w:p>
        </w:tc>
        <w:tc>
          <w:tcPr>
            <w:tcW w:w="577" w:type="pct"/>
            <w:tcBorders>
              <w:top w:val="single" w:sz="4" w:space="0" w:color="auto"/>
              <w:bottom w:val="single" w:sz="4" w:space="0" w:color="auto"/>
            </w:tcBorders>
            <w:shd w:val="clear" w:color="auto" w:fill="auto"/>
            <w:noWrap/>
            <w:vAlign w:val="center"/>
          </w:tcPr>
          <w:p w14:paraId="4AEDBDB1" w14:textId="77777777" w:rsidR="001D4CAB" w:rsidRPr="00F0155A" w:rsidRDefault="001D4CAB" w:rsidP="001D4CAB">
            <w:pPr>
              <w:spacing w:after="0" w:line="240" w:lineRule="auto"/>
              <w:jc w:val="center"/>
              <w:rPr>
                <w:rFonts w:ascii="Times New Roman" w:eastAsia="Times New Roman" w:hAnsi="Times New Roman" w:cs="Times New Roman"/>
                <w:b/>
                <w:bCs/>
                <w:i/>
                <w:iCs/>
                <w:color w:val="000000"/>
              </w:rPr>
            </w:pPr>
            <w:r w:rsidRPr="00F0155A">
              <w:rPr>
                <w:rFonts w:ascii="Times New Roman" w:eastAsia="Times New Roman" w:hAnsi="Times New Roman" w:cs="Times New Roman"/>
                <w:b/>
                <w:bCs/>
                <w:i/>
                <w:iCs/>
                <w:color w:val="000000"/>
              </w:rPr>
              <w:t>INN</w:t>
            </w:r>
          </w:p>
        </w:tc>
        <w:tc>
          <w:tcPr>
            <w:tcW w:w="572" w:type="pct"/>
            <w:tcBorders>
              <w:top w:val="single" w:sz="4" w:space="0" w:color="auto"/>
              <w:bottom w:val="single" w:sz="4" w:space="0" w:color="auto"/>
            </w:tcBorders>
            <w:shd w:val="clear" w:color="auto" w:fill="auto"/>
            <w:noWrap/>
            <w:vAlign w:val="center"/>
          </w:tcPr>
          <w:p w14:paraId="1D9313A2" w14:textId="77777777" w:rsidR="001D4CAB" w:rsidRPr="00F0155A" w:rsidRDefault="001D4CAB" w:rsidP="001D4CAB">
            <w:pPr>
              <w:spacing w:after="0" w:line="240" w:lineRule="auto"/>
              <w:jc w:val="center"/>
              <w:rPr>
                <w:rFonts w:ascii="Times New Roman" w:eastAsia="Times New Roman" w:hAnsi="Times New Roman" w:cs="Times New Roman"/>
                <w:b/>
                <w:bCs/>
                <w:i/>
                <w:iCs/>
                <w:color w:val="000000"/>
              </w:rPr>
            </w:pPr>
            <w:r w:rsidRPr="00F0155A">
              <w:rPr>
                <w:rFonts w:ascii="Times New Roman" w:eastAsia="Times New Roman" w:hAnsi="Times New Roman" w:cs="Times New Roman"/>
                <w:b/>
                <w:bCs/>
                <w:i/>
                <w:iCs/>
                <w:color w:val="000000"/>
              </w:rPr>
              <w:t>PRA</w:t>
            </w:r>
          </w:p>
        </w:tc>
        <w:tc>
          <w:tcPr>
            <w:tcW w:w="572" w:type="pct"/>
            <w:tcBorders>
              <w:top w:val="single" w:sz="4" w:space="0" w:color="auto"/>
              <w:bottom w:val="single" w:sz="4" w:space="0" w:color="auto"/>
            </w:tcBorders>
            <w:shd w:val="clear" w:color="auto" w:fill="auto"/>
            <w:noWrap/>
            <w:vAlign w:val="center"/>
          </w:tcPr>
          <w:p w14:paraId="2E64E9A5" w14:textId="77777777" w:rsidR="001D4CAB" w:rsidRPr="00F0155A" w:rsidRDefault="001D4CAB" w:rsidP="001D4CAB">
            <w:pPr>
              <w:spacing w:after="0" w:line="240" w:lineRule="auto"/>
              <w:jc w:val="center"/>
              <w:rPr>
                <w:rFonts w:ascii="Times New Roman" w:eastAsia="Times New Roman" w:hAnsi="Times New Roman" w:cs="Times New Roman"/>
                <w:b/>
                <w:bCs/>
                <w:i/>
                <w:iCs/>
                <w:color w:val="000000"/>
              </w:rPr>
            </w:pPr>
            <w:r w:rsidRPr="00F0155A">
              <w:rPr>
                <w:rFonts w:ascii="Times New Roman" w:eastAsia="Times New Roman" w:hAnsi="Times New Roman" w:cs="Times New Roman"/>
                <w:b/>
                <w:bCs/>
                <w:i/>
                <w:iCs/>
                <w:color w:val="000000"/>
              </w:rPr>
              <w:t>RSK</w:t>
            </w:r>
          </w:p>
        </w:tc>
        <w:tc>
          <w:tcPr>
            <w:tcW w:w="572" w:type="pct"/>
            <w:tcBorders>
              <w:top w:val="single" w:sz="4" w:space="0" w:color="auto"/>
              <w:bottom w:val="single" w:sz="4" w:space="0" w:color="auto"/>
            </w:tcBorders>
            <w:shd w:val="clear" w:color="auto" w:fill="auto"/>
            <w:vAlign w:val="center"/>
          </w:tcPr>
          <w:p w14:paraId="706436D4" w14:textId="77777777" w:rsidR="001D4CAB" w:rsidRPr="00F0155A" w:rsidRDefault="001D4CAB" w:rsidP="001D4CAB">
            <w:pPr>
              <w:spacing w:after="0" w:line="240" w:lineRule="auto"/>
              <w:jc w:val="center"/>
              <w:rPr>
                <w:rFonts w:ascii="Times New Roman" w:eastAsia="Times New Roman" w:hAnsi="Times New Roman" w:cs="Times New Roman"/>
                <w:b/>
                <w:bCs/>
                <w:i/>
                <w:iCs/>
                <w:color w:val="000000"/>
              </w:rPr>
            </w:pPr>
            <w:r w:rsidRPr="00F0155A">
              <w:rPr>
                <w:rFonts w:ascii="Times New Roman" w:eastAsia="Times New Roman" w:hAnsi="Times New Roman" w:cs="Times New Roman"/>
                <w:b/>
                <w:bCs/>
                <w:i/>
                <w:iCs/>
                <w:color w:val="000000"/>
              </w:rPr>
              <w:t>FNC</w:t>
            </w:r>
          </w:p>
        </w:tc>
        <w:tc>
          <w:tcPr>
            <w:tcW w:w="572" w:type="pct"/>
            <w:tcBorders>
              <w:top w:val="single" w:sz="4" w:space="0" w:color="auto"/>
              <w:bottom w:val="single" w:sz="4" w:space="0" w:color="auto"/>
            </w:tcBorders>
            <w:shd w:val="clear" w:color="auto" w:fill="auto"/>
            <w:vAlign w:val="center"/>
          </w:tcPr>
          <w:p w14:paraId="4F9865B1" w14:textId="77777777" w:rsidR="001D4CAB" w:rsidRPr="00F0155A" w:rsidRDefault="001D4CAB" w:rsidP="001D4CAB">
            <w:pPr>
              <w:spacing w:after="0" w:line="240" w:lineRule="auto"/>
              <w:jc w:val="center"/>
              <w:rPr>
                <w:rFonts w:ascii="Times New Roman" w:eastAsia="Times New Roman" w:hAnsi="Times New Roman" w:cs="Times New Roman"/>
                <w:b/>
                <w:bCs/>
                <w:i/>
                <w:iCs/>
                <w:color w:val="000000"/>
              </w:rPr>
            </w:pPr>
            <w:r w:rsidRPr="00F0155A">
              <w:rPr>
                <w:rFonts w:ascii="Times New Roman" w:eastAsia="Times New Roman" w:hAnsi="Times New Roman" w:cs="Times New Roman"/>
                <w:b/>
                <w:bCs/>
                <w:i/>
                <w:iCs/>
                <w:color w:val="000000"/>
              </w:rPr>
              <w:t>CMA</w:t>
            </w:r>
          </w:p>
        </w:tc>
      </w:tr>
      <w:tr w:rsidR="001D4CAB" w:rsidRPr="00F0155A" w14:paraId="7B0FC9B6" w14:textId="77777777" w:rsidTr="001D4CAB">
        <w:trPr>
          <w:trHeight w:val="397"/>
          <w:jc w:val="center"/>
        </w:trPr>
        <w:tc>
          <w:tcPr>
            <w:tcW w:w="2135" w:type="pct"/>
            <w:tcBorders>
              <w:top w:val="nil"/>
              <w:bottom w:val="nil"/>
            </w:tcBorders>
            <w:noWrap/>
            <w:vAlign w:val="center"/>
          </w:tcPr>
          <w:p w14:paraId="2B96723C" w14:textId="77777777" w:rsidR="001D4CAB" w:rsidRPr="00F0155A" w:rsidRDefault="001D4CAB" w:rsidP="001D4CAB">
            <w:pPr>
              <w:spacing w:after="0" w:line="240" w:lineRule="auto"/>
              <w:jc w:val="left"/>
              <w:rPr>
                <w:rFonts w:ascii="Times New Roman" w:eastAsia="Calibri" w:hAnsi="Times New Roman" w:cs="Times New Roman"/>
                <w:color w:val="000000"/>
              </w:rPr>
            </w:pPr>
            <w:r w:rsidRPr="00F0155A">
              <w:rPr>
                <w:rFonts w:ascii="Times New Roman" w:eastAsia="Calibri" w:hAnsi="Times New Roman" w:cs="Times New Roman"/>
                <w:color w:val="000000"/>
              </w:rPr>
              <w:t>Innovation (INN)</w:t>
            </w:r>
          </w:p>
        </w:tc>
        <w:tc>
          <w:tcPr>
            <w:tcW w:w="577" w:type="pct"/>
            <w:shd w:val="clear" w:color="auto" w:fill="auto"/>
            <w:noWrap/>
            <w:vAlign w:val="center"/>
          </w:tcPr>
          <w:p w14:paraId="45A94263" w14:textId="77777777" w:rsidR="001D4CAB" w:rsidRPr="00F0155A" w:rsidRDefault="001D4CAB" w:rsidP="001D4CAB">
            <w:pPr>
              <w:spacing w:after="0" w:line="240" w:lineRule="auto"/>
              <w:jc w:val="center"/>
              <w:rPr>
                <w:rFonts w:ascii="Times New Roman" w:hAnsi="Times New Roman" w:cs="Times New Roman"/>
                <w:b/>
                <w:bCs/>
                <w:color w:val="000000"/>
              </w:rPr>
            </w:pPr>
            <w:r w:rsidRPr="00F0155A">
              <w:rPr>
                <w:rFonts w:ascii="Times New Roman" w:hAnsi="Times New Roman" w:cs="Times New Roman"/>
                <w:b/>
                <w:bCs/>
                <w:color w:val="000000"/>
              </w:rPr>
              <w:t>0.797</w:t>
            </w:r>
          </w:p>
        </w:tc>
        <w:tc>
          <w:tcPr>
            <w:tcW w:w="572" w:type="pct"/>
            <w:shd w:val="clear" w:color="auto" w:fill="auto"/>
            <w:noWrap/>
            <w:vAlign w:val="center"/>
          </w:tcPr>
          <w:p w14:paraId="09649A99" w14:textId="77777777" w:rsidR="001D4CAB" w:rsidRPr="00F0155A" w:rsidRDefault="001D4CAB" w:rsidP="001D4CAB">
            <w:pPr>
              <w:spacing w:after="0" w:line="240" w:lineRule="auto"/>
              <w:jc w:val="center"/>
              <w:rPr>
                <w:rFonts w:ascii="Times New Roman" w:hAnsi="Times New Roman" w:cs="Times New Roman"/>
                <w:color w:val="000000"/>
              </w:rPr>
            </w:pPr>
          </w:p>
        </w:tc>
        <w:tc>
          <w:tcPr>
            <w:tcW w:w="572" w:type="pct"/>
            <w:shd w:val="clear" w:color="auto" w:fill="auto"/>
            <w:noWrap/>
            <w:vAlign w:val="center"/>
          </w:tcPr>
          <w:p w14:paraId="738B8FC2" w14:textId="77777777" w:rsidR="001D4CAB" w:rsidRPr="00F0155A" w:rsidRDefault="001D4CAB" w:rsidP="001D4CAB">
            <w:pPr>
              <w:spacing w:after="0" w:line="240" w:lineRule="auto"/>
              <w:jc w:val="center"/>
              <w:rPr>
                <w:rFonts w:ascii="Times New Roman" w:hAnsi="Times New Roman" w:cs="Times New Roman"/>
                <w:color w:val="000000"/>
              </w:rPr>
            </w:pPr>
          </w:p>
        </w:tc>
        <w:tc>
          <w:tcPr>
            <w:tcW w:w="572" w:type="pct"/>
            <w:vAlign w:val="center"/>
          </w:tcPr>
          <w:p w14:paraId="4C16FDD0" w14:textId="77777777" w:rsidR="001D4CAB" w:rsidRPr="00F0155A" w:rsidRDefault="001D4CAB" w:rsidP="001D4CAB">
            <w:pPr>
              <w:spacing w:after="0" w:line="240" w:lineRule="auto"/>
              <w:jc w:val="center"/>
              <w:rPr>
                <w:rFonts w:ascii="Times New Roman" w:hAnsi="Times New Roman" w:cs="Times New Roman"/>
                <w:color w:val="000000"/>
              </w:rPr>
            </w:pPr>
          </w:p>
        </w:tc>
        <w:tc>
          <w:tcPr>
            <w:tcW w:w="572" w:type="pct"/>
            <w:vAlign w:val="center"/>
          </w:tcPr>
          <w:p w14:paraId="2913E39D" w14:textId="77777777" w:rsidR="001D4CAB" w:rsidRPr="00F0155A" w:rsidRDefault="001D4CAB" w:rsidP="001D4CAB">
            <w:pPr>
              <w:spacing w:after="0" w:line="240" w:lineRule="auto"/>
              <w:jc w:val="center"/>
              <w:rPr>
                <w:rFonts w:ascii="Times New Roman" w:hAnsi="Times New Roman" w:cs="Times New Roman"/>
                <w:color w:val="000000"/>
              </w:rPr>
            </w:pPr>
          </w:p>
        </w:tc>
      </w:tr>
      <w:tr w:rsidR="001D4CAB" w:rsidRPr="00F0155A" w14:paraId="03B45AF7" w14:textId="77777777" w:rsidTr="001D4CAB">
        <w:trPr>
          <w:trHeight w:val="397"/>
          <w:jc w:val="center"/>
        </w:trPr>
        <w:tc>
          <w:tcPr>
            <w:tcW w:w="2135" w:type="pct"/>
            <w:tcBorders>
              <w:top w:val="nil"/>
              <w:bottom w:val="nil"/>
            </w:tcBorders>
            <w:noWrap/>
            <w:vAlign w:val="center"/>
          </w:tcPr>
          <w:p w14:paraId="27BA367E" w14:textId="77777777" w:rsidR="001D4CAB" w:rsidRPr="00F0155A" w:rsidRDefault="001D4CAB" w:rsidP="001D4CAB">
            <w:pPr>
              <w:spacing w:after="0" w:line="240" w:lineRule="auto"/>
              <w:jc w:val="left"/>
              <w:rPr>
                <w:rFonts w:ascii="Times New Roman" w:eastAsia="Calibri" w:hAnsi="Times New Roman" w:cs="Times New Roman"/>
                <w:color w:val="000000"/>
              </w:rPr>
            </w:pPr>
            <w:r w:rsidRPr="00F0155A">
              <w:rPr>
                <w:rFonts w:ascii="Times New Roman" w:eastAsia="Calibri" w:hAnsi="Times New Roman" w:cs="Times New Roman"/>
                <w:color w:val="000000"/>
              </w:rPr>
              <w:t>Pro-Activeness (PRA)</w:t>
            </w:r>
          </w:p>
        </w:tc>
        <w:tc>
          <w:tcPr>
            <w:tcW w:w="577" w:type="pct"/>
            <w:shd w:val="clear" w:color="auto" w:fill="auto"/>
            <w:noWrap/>
            <w:vAlign w:val="center"/>
          </w:tcPr>
          <w:p w14:paraId="2DC93E7D"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0.549</w:t>
            </w:r>
          </w:p>
        </w:tc>
        <w:tc>
          <w:tcPr>
            <w:tcW w:w="572" w:type="pct"/>
            <w:shd w:val="clear" w:color="auto" w:fill="auto"/>
            <w:noWrap/>
            <w:vAlign w:val="center"/>
          </w:tcPr>
          <w:p w14:paraId="1C6F1C87" w14:textId="77777777" w:rsidR="001D4CAB" w:rsidRPr="00F0155A" w:rsidRDefault="001D4CAB" w:rsidP="001D4CAB">
            <w:pPr>
              <w:spacing w:after="0" w:line="240" w:lineRule="auto"/>
              <w:jc w:val="center"/>
              <w:rPr>
                <w:rFonts w:ascii="Times New Roman" w:hAnsi="Times New Roman" w:cs="Times New Roman"/>
                <w:b/>
                <w:bCs/>
                <w:color w:val="000000"/>
              </w:rPr>
            </w:pPr>
            <w:r w:rsidRPr="00F0155A">
              <w:rPr>
                <w:rFonts w:ascii="Times New Roman" w:hAnsi="Times New Roman" w:cs="Times New Roman"/>
                <w:b/>
                <w:bCs/>
                <w:color w:val="000000"/>
              </w:rPr>
              <w:t>0.791</w:t>
            </w:r>
          </w:p>
        </w:tc>
        <w:tc>
          <w:tcPr>
            <w:tcW w:w="572" w:type="pct"/>
            <w:shd w:val="clear" w:color="auto" w:fill="auto"/>
            <w:noWrap/>
            <w:vAlign w:val="center"/>
          </w:tcPr>
          <w:p w14:paraId="6DA615B9" w14:textId="77777777" w:rsidR="001D4CAB" w:rsidRPr="00F0155A" w:rsidRDefault="001D4CAB" w:rsidP="001D4CAB">
            <w:pPr>
              <w:spacing w:after="0" w:line="240" w:lineRule="auto"/>
              <w:jc w:val="center"/>
              <w:rPr>
                <w:rFonts w:ascii="Times New Roman" w:hAnsi="Times New Roman" w:cs="Times New Roman"/>
                <w:color w:val="000000"/>
              </w:rPr>
            </w:pPr>
          </w:p>
        </w:tc>
        <w:tc>
          <w:tcPr>
            <w:tcW w:w="572" w:type="pct"/>
            <w:vAlign w:val="center"/>
          </w:tcPr>
          <w:p w14:paraId="179C3A45" w14:textId="77777777" w:rsidR="001D4CAB" w:rsidRPr="00F0155A" w:rsidRDefault="001D4CAB" w:rsidP="001D4CAB">
            <w:pPr>
              <w:spacing w:after="0" w:line="240" w:lineRule="auto"/>
              <w:jc w:val="center"/>
              <w:rPr>
                <w:rFonts w:ascii="Times New Roman" w:hAnsi="Times New Roman" w:cs="Times New Roman"/>
                <w:color w:val="000000"/>
              </w:rPr>
            </w:pPr>
          </w:p>
        </w:tc>
        <w:tc>
          <w:tcPr>
            <w:tcW w:w="572" w:type="pct"/>
            <w:vAlign w:val="center"/>
          </w:tcPr>
          <w:p w14:paraId="5F741772" w14:textId="77777777" w:rsidR="001D4CAB" w:rsidRPr="00F0155A" w:rsidRDefault="001D4CAB" w:rsidP="001D4CAB">
            <w:pPr>
              <w:spacing w:after="0" w:line="240" w:lineRule="auto"/>
              <w:jc w:val="center"/>
              <w:rPr>
                <w:rFonts w:ascii="Times New Roman" w:hAnsi="Times New Roman" w:cs="Times New Roman"/>
                <w:color w:val="000000"/>
              </w:rPr>
            </w:pPr>
          </w:p>
        </w:tc>
      </w:tr>
      <w:tr w:rsidR="001D4CAB" w:rsidRPr="00F0155A" w14:paraId="36CED576" w14:textId="77777777" w:rsidTr="001D4CAB">
        <w:trPr>
          <w:trHeight w:val="397"/>
          <w:jc w:val="center"/>
        </w:trPr>
        <w:tc>
          <w:tcPr>
            <w:tcW w:w="2135" w:type="pct"/>
            <w:tcBorders>
              <w:top w:val="nil"/>
              <w:bottom w:val="nil"/>
            </w:tcBorders>
            <w:noWrap/>
            <w:vAlign w:val="center"/>
          </w:tcPr>
          <w:p w14:paraId="39127472" w14:textId="77777777" w:rsidR="001D4CAB" w:rsidRPr="00F0155A" w:rsidRDefault="001D4CAB" w:rsidP="001D4CAB">
            <w:pPr>
              <w:spacing w:after="0" w:line="240" w:lineRule="auto"/>
              <w:jc w:val="left"/>
              <w:rPr>
                <w:rFonts w:ascii="Times New Roman" w:eastAsia="Calibri" w:hAnsi="Times New Roman" w:cs="Times New Roman"/>
                <w:color w:val="000000"/>
              </w:rPr>
            </w:pPr>
            <w:r w:rsidRPr="00F0155A">
              <w:rPr>
                <w:rFonts w:ascii="Times New Roman" w:eastAsia="Calibri" w:hAnsi="Times New Roman" w:cs="Times New Roman"/>
                <w:color w:val="000000"/>
              </w:rPr>
              <w:t>Risk Taking (RSK)</w:t>
            </w:r>
          </w:p>
        </w:tc>
        <w:tc>
          <w:tcPr>
            <w:tcW w:w="577" w:type="pct"/>
            <w:shd w:val="clear" w:color="auto" w:fill="auto"/>
            <w:noWrap/>
            <w:vAlign w:val="center"/>
          </w:tcPr>
          <w:p w14:paraId="140A1488"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0.392</w:t>
            </w:r>
          </w:p>
        </w:tc>
        <w:tc>
          <w:tcPr>
            <w:tcW w:w="572" w:type="pct"/>
            <w:shd w:val="clear" w:color="auto" w:fill="auto"/>
            <w:noWrap/>
            <w:vAlign w:val="center"/>
          </w:tcPr>
          <w:p w14:paraId="61C25416"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0.457</w:t>
            </w:r>
          </w:p>
        </w:tc>
        <w:tc>
          <w:tcPr>
            <w:tcW w:w="572" w:type="pct"/>
            <w:shd w:val="clear" w:color="auto" w:fill="auto"/>
            <w:noWrap/>
            <w:vAlign w:val="center"/>
          </w:tcPr>
          <w:p w14:paraId="7720B00C" w14:textId="77777777" w:rsidR="001D4CAB" w:rsidRPr="00F0155A" w:rsidRDefault="001D4CAB" w:rsidP="001D4CAB">
            <w:pPr>
              <w:spacing w:after="0" w:line="240" w:lineRule="auto"/>
              <w:jc w:val="center"/>
              <w:rPr>
                <w:rFonts w:ascii="Times New Roman" w:hAnsi="Times New Roman" w:cs="Times New Roman"/>
                <w:b/>
                <w:bCs/>
                <w:color w:val="000000"/>
              </w:rPr>
            </w:pPr>
            <w:r w:rsidRPr="00F0155A">
              <w:rPr>
                <w:rFonts w:ascii="Times New Roman" w:hAnsi="Times New Roman" w:cs="Times New Roman"/>
                <w:b/>
                <w:bCs/>
                <w:color w:val="000000"/>
              </w:rPr>
              <w:t>0.750</w:t>
            </w:r>
          </w:p>
        </w:tc>
        <w:tc>
          <w:tcPr>
            <w:tcW w:w="572" w:type="pct"/>
            <w:vAlign w:val="center"/>
          </w:tcPr>
          <w:p w14:paraId="3C0EB751" w14:textId="77777777" w:rsidR="001D4CAB" w:rsidRPr="00F0155A" w:rsidRDefault="001D4CAB" w:rsidP="001D4CAB">
            <w:pPr>
              <w:spacing w:after="0" w:line="240" w:lineRule="auto"/>
              <w:jc w:val="center"/>
              <w:rPr>
                <w:rFonts w:ascii="Times New Roman" w:hAnsi="Times New Roman" w:cs="Times New Roman"/>
                <w:color w:val="000000"/>
              </w:rPr>
            </w:pPr>
          </w:p>
        </w:tc>
        <w:tc>
          <w:tcPr>
            <w:tcW w:w="572" w:type="pct"/>
            <w:vAlign w:val="center"/>
          </w:tcPr>
          <w:p w14:paraId="1B9B7B1D" w14:textId="77777777" w:rsidR="001D4CAB" w:rsidRPr="00F0155A" w:rsidRDefault="001D4CAB" w:rsidP="001D4CAB">
            <w:pPr>
              <w:spacing w:after="0" w:line="240" w:lineRule="auto"/>
              <w:jc w:val="center"/>
              <w:rPr>
                <w:rFonts w:ascii="Times New Roman" w:hAnsi="Times New Roman" w:cs="Times New Roman"/>
                <w:color w:val="000000"/>
              </w:rPr>
            </w:pPr>
          </w:p>
        </w:tc>
      </w:tr>
      <w:tr w:rsidR="001D4CAB" w:rsidRPr="00F0155A" w14:paraId="21B8E382" w14:textId="77777777" w:rsidTr="001D4CAB">
        <w:trPr>
          <w:trHeight w:val="397"/>
          <w:jc w:val="center"/>
        </w:trPr>
        <w:tc>
          <w:tcPr>
            <w:tcW w:w="2135" w:type="pct"/>
            <w:tcBorders>
              <w:top w:val="nil"/>
              <w:bottom w:val="nil"/>
            </w:tcBorders>
            <w:noWrap/>
            <w:vAlign w:val="center"/>
          </w:tcPr>
          <w:p w14:paraId="37DFE61C" w14:textId="77777777" w:rsidR="001D4CAB" w:rsidRPr="00F0155A" w:rsidRDefault="001D4CAB" w:rsidP="001D4CAB">
            <w:pPr>
              <w:spacing w:after="0" w:line="240" w:lineRule="auto"/>
              <w:jc w:val="left"/>
              <w:rPr>
                <w:rFonts w:ascii="Times New Roman" w:eastAsia="Calibri" w:hAnsi="Times New Roman" w:cs="Times New Roman"/>
                <w:color w:val="000000"/>
              </w:rPr>
            </w:pPr>
            <w:r w:rsidRPr="00F0155A">
              <w:rPr>
                <w:rFonts w:ascii="Times New Roman" w:eastAsia="Calibri" w:hAnsi="Times New Roman" w:cs="Times New Roman"/>
                <w:color w:val="000000"/>
              </w:rPr>
              <w:t>Financing (FNC)</w:t>
            </w:r>
          </w:p>
        </w:tc>
        <w:tc>
          <w:tcPr>
            <w:tcW w:w="577" w:type="pct"/>
            <w:shd w:val="clear" w:color="auto" w:fill="auto"/>
            <w:noWrap/>
            <w:vAlign w:val="center"/>
          </w:tcPr>
          <w:p w14:paraId="238B9CA3"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0.074</w:t>
            </w:r>
          </w:p>
        </w:tc>
        <w:tc>
          <w:tcPr>
            <w:tcW w:w="572" w:type="pct"/>
            <w:shd w:val="clear" w:color="auto" w:fill="auto"/>
            <w:noWrap/>
            <w:vAlign w:val="center"/>
          </w:tcPr>
          <w:p w14:paraId="3E04D23C"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0.047</w:t>
            </w:r>
          </w:p>
        </w:tc>
        <w:tc>
          <w:tcPr>
            <w:tcW w:w="572" w:type="pct"/>
            <w:shd w:val="clear" w:color="auto" w:fill="auto"/>
            <w:noWrap/>
            <w:vAlign w:val="center"/>
          </w:tcPr>
          <w:p w14:paraId="5A022A67"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0.105</w:t>
            </w:r>
          </w:p>
        </w:tc>
        <w:tc>
          <w:tcPr>
            <w:tcW w:w="572" w:type="pct"/>
            <w:vAlign w:val="center"/>
          </w:tcPr>
          <w:p w14:paraId="20218CC2" w14:textId="77777777" w:rsidR="001D4CAB" w:rsidRPr="00F0155A" w:rsidRDefault="001D4CAB" w:rsidP="001D4CAB">
            <w:pPr>
              <w:spacing w:after="0" w:line="240" w:lineRule="auto"/>
              <w:jc w:val="center"/>
              <w:rPr>
                <w:rFonts w:ascii="Times New Roman" w:hAnsi="Times New Roman" w:cs="Times New Roman"/>
                <w:b/>
                <w:bCs/>
                <w:color w:val="000000"/>
              </w:rPr>
            </w:pPr>
            <w:r w:rsidRPr="00F0155A">
              <w:rPr>
                <w:rFonts w:ascii="Times New Roman" w:hAnsi="Times New Roman" w:cs="Times New Roman"/>
                <w:b/>
                <w:bCs/>
                <w:color w:val="000000"/>
              </w:rPr>
              <w:t>0.876</w:t>
            </w:r>
          </w:p>
        </w:tc>
        <w:tc>
          <w:tcPr>
            <w:tcW w:w="572" w:type="pct"/>
            <w:vAlign w:val="center"/>
          </w:tcPr>
          <w:p w14:paraId="4221B210" w14:textId="77777777" w:rsidR="001D4CAB" w:rsidRPr="00F0155A" w:rsidRDefault="001D4CAB" w:rsidP="001D4CAB">
            <w:pPr>
              <w:spacing w:after="0" w:line="240" w:lineRule="auto"/>
              <w:jc w:val="center"/>
              <w:rPr>
                <w:rFonts w:ascii="Times New Roman" w:hAnsi="Times New Roman" w:cs="Times New Roman"/>
                <w:color w:val="000000"/>
              </w:rPr>
            </w:pPr>
          </w:p>
        </w:tc>
      </w:tr>
      <w:tr w:rsidR="001D4CAB" w:rsidRPr="00F0155A" w14:paraId="35B07D69" w14:textId="77777777" w:rsidTr="001D4CAB">
        <w:trPr>
          <w:trHeight w:val="397"/>
          <w:jc w:val="center"/>
        </w:trPr>
        <w:tc>
          <w:tcPr>
            <w:tcW w:w="2135" w:type="pct"/>
            <w:tcBorders>
              <w:top w:val="nil"/>
              <w:bottom w:val="single" w:sz="4" w:space="0" w:color="auto"/>
            </w:tcBorders>
            <w:shd w:val="clear" w:color="auto" w:fill="auto"/>
            <w:noWrap/>
            <w:vAlign w:val="center"/>
          </w:tcPr>
          <w:p w14:paraId="4CFCC7F2" w14:textId="77777777" w:rsidR="001D4CAB" w:rsidRPr="00F0155A" w:rsidRDefault="001D4CAB" w:rsidP="001D4CAB">
            <w:pPr>
              <w:spacing w:after="0" w:line="240" w:lineRule="auto"/>
              <w:jc w:val="left"/>
              <w:rPr>
                <w:rFonts w:ascii="Times New Roman" w:eastAsia="Times New Roman" w:hAnsi="Times New Roman" w:cs="Times New Roman"/>
                <w:color w:val="000000"/>
              </w:rPr>
            </w:pPr>
            <w:r w:rsidRPr="00F0155A">
              <w:rPr>
                <w:rFonts w:ascii="Times New Roman" w:eastAsia="Times New Roman" w:hAnsi="Times New Roman" w:cs="Times New Roman"/>
                <w:color w:val="000000"/>
              </w:rPr>
              <w:t>Competitive Advantage (CMA)</w:t>
            </w:r>
          </w:p>
        </w:tc>
        <w:tc>
          <w:tcPr>
            <w:tcW w:w="577" w:type="pct"/>
            <w:shd w:val="clear" w:color="auto" w:fill="auto"/>
            <w:noWrap/>
            <w:vAlign w:val="center"/>
          </w:tcPr>
          <w:p w14:paraId="188F60F7"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0.480</w:t>
            </w:r>
          </w:p>
        </w:tc>
        <w:tc>
          <w:tcPr>
            <w:tcW w:w="572" w:type="pct"/>
            <w:shd w:val="clear" w:color="auto" w:fill="auto"/>
            <w:noWrap/>
            <w:vAlign w:val="center"/>
          </w:tcPr>
          <w:p w14:paraId="4F87933C"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0.496</w:t>
            </w:r>
          </w:p>
        </w:tc>
        <w:tc>
          <w:tcPr>
            <w:tcW w:w="572" w:type="pct"/>
            <w:shd w:val="clear" w:color="auto" w:fill="auto"/>
            <w:noWrap/>
            <w:vAlign w:val="center"/>
          </w:tcPr>
          <w:p w14:paraId="1F2844C8"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0.472</w:t>
            </w:r>
          </w:p>
        </w:tc>
        <w:tc>
          <w:tcPr>
            <w:tcW w:w="572" w:type="pct"/>
            <w:vAlign w:val="center"/>
          </w:tcPr>
          <w:p w14:paraId="66E37A48" w14:textId="77777777" w:rsidR="001D4CAB" w:rsidRPr="00F0155A" w:rsidRDefault="001D4CAB" w:rsidP="001D4CAB">
            <w:pPr>
              <w:spacing w:after="0" w:line="240" w:lineRule="auto"/>
              <w:jc w:val="center"/>
              <w:rPr>
                <w:rFonts w:ascii="Times New Roman" w:hAnsi="Times New Roman" w:cs="Times New Roman"/>
                <w:color w:val="000000"/>
              </w:rPr>
            </w:pPr>
            <w:r w:rsidRPr="00F0155A">
              <w:rPr>
                <w:rFonts w:ascii="Times New Roman" w:hAnsi="Times New Roman" w:cs="Times New Roman"/>
                <w:color w:val="000000"/>
              </w:rPr>
              <w:t>0.174</w:t>
            </w:r>
          </w:p>
        </w:tc>
        <w:tc>
          <w:tcPr>
            <w:tcW w:w="572" w:type="pct"/>
            <w:vAlign w:val="center"/>
          </w:tcPr>
          <w:p w14:paraId="3FD6FCE4" w14:textId="77777777" w:rsidR="001D4CAB" w:rsidRPr="00F0155A" w:rsidRDefault="001D4CAB" w:rsidP="001D4CAB">
            <w:pPr>
              <w:spacing w:after="0" w:line="240" w:lineRule="auto"/>
              <w:jc w:val="center"/>
              <w:rPr>
                <w:rFonts w:ascii="Times New Roman" w:hAnsi="Times New Roman" w:cs="Times New Roman"/>
                <w:b/>
                <w:bCs/>
                <w:color w:val="000000"/>
              </w:rPr>
            </w:pPr>
            <w:r w:rsidRPr="00F0155A">
              <w:rPr>
                <w:rFonts w:ascii="Times New Roman" w:hAnsi="Times New Roman" w:cs="Times New Roman"/>
                <w:b/>
                <w:bCs/>
                <w:color w:val="000000"/>
              </w:rPr>
              <w:t>0.912</w:t>
            </w:r>
          </w:p>
        </w:tc>
      </w:tr>
    </w:tbl>
    <w:p w14:paraId="4EC80307" w14:textId="77777777" w:rsidR="001D4CAB" w:rsidRPr="00F0155A" w:rsidRDefault="001D4CAB" w:rsidP="001D4CAB">
      <w:pPr>
        <w:spacing w:line="240" w:lineRule="auto"/>
        <w:rPr>
          <w:rFonts w:ascii="Times New Roman" w:hAnsi="Times New Roman" w:cs="Times New Roman"/>
        </w:rPr>
      </w:pPr>
      <w:r w:rsidRPr="00F0155A">
        <w:rPr>
          <w:rFonts w:ascii="Times New Roman" w:hAnsi="Times New Roman" w:cs="Times New Roman"/>
        </w:rPr>
        <w:t>Notes. Diagonals represent the average variance extracted, while the other matrix entries represent the square correlations.</w:t>
      </w:r>
    </w:p>
    <w:p w14:paraId="6A29143C" w14:textId="77777777" w:rsidR="001D4CAB" w:rsidRPr="00F0155A" w:rsidRDefault="001D4CAB" w:rsidP="001D4CAB">
      <w:pPr>
        <w:pStyle w:val="Heading2"/>
      </w:pPr>
      <w:r w:rsidRPr="00F0155A">
        <w:lastRenderedPageBreak/>
        <w:t>Structural Model</w:t>
      </w:r>
    </w:p>
    <w:p w14:paraId="44FA22D4" w14:textId="0B6BEF4B" w:rsidR="001D4CAB" w:rsidRPr="005C7FE5" w:rsidRDefault="001D4CAB" w:rsidP="00CB3159">
      <w:pPr>
        <w:spacing w:after="0" w:line="240" w:lineRule="auto"/>
        <w:rPr>
          <w:rFonts w:ascii="Times New Roman" w:hAnsi="Times New Roman" w:cs="Times New Roman"/>
          <w:lang w:val="en-GB" w:eastAsia="en-GB"/>
        </w:rPr>
      </w:pPr>
      <w:r w:rsidRPr="005C7FE5">
        <w:rPr>
          <w:rFonts w:ascii="Times New Roman" w:hAnsi="Times New Roman" w:cs="Times New Roman"/>
          <w:lang w:val="en-GB" w:eastAsia="en-GB"/>
        </w:rPr>
        <w:t>With the satisfactory results in the measurement model, the structural model was evaluated subsequently. The predictive accuracy of the model was evaluated in terms of the portion of variance explained (R</w:t>
      </w:r>
      <w:r w:rsidRPr="005C7FE5">
        <w:rPr>
          <w:rFonts w:ascii="Times New Roman" w:hAnsi="Times New Roman" w:cs="Times New Roman"/>
          <w:vertAlign w:val="superscript"/>
          <w:lang w:val="en-GB" w:eastAsia="en-GB"/>
        </w:rPr>
        <w:t>2</w:t>
      </w:r>
      <w:r w:rsidRPr="005C7FE5">
        <w:rPr>
          <w:rFonts w:ascii="Times New Roman" w:hAnsi="Times New Roman" w:cs="Times New Roman"/>
          <w:lang w:val="en-GB" w:eastAsia="en-GB"/>
        </w:rPr>
        <w:t>). The results suggest that the model is capable of explai</w:t>
      </w:r>
      <w:r w:rsidR="00580F41">
        <w:rPr>
          <w:rFonts w:ascii="Times New Roman" w:hAnsi="Times New Roman" w:cs="Times New Roman"/>
          <w:lang w:val="en-GB" w:eastAsia="en-GB"/>
        </w:rPr>
        <w:t>ning 44.3 % of the variance in competitive a</w:t>
      </w:r>
      <w:r w:rsidRPr="005C7FE5">
        <w:rPr>
          <w:rFonts w:ascii="Times New Roman" w:hAnsi="Times New Roman" w:cs="Times New Roman"/>
          <w:lang w:val="en-GB" w:eastAsia="en-GB"/>
        </w:rPr>
        <w:t>dvantages. Besides estimating the magnitude of R</w:t>
      </w:r>
      <w:r w:rsidRPr="005C7FE5">
        <w:rPr>
          <w:rFonts w:ascii="Times New Roman" w:hAnsi="Times New Roman" w:cs="Times New Roman"/>
          <w:vertAlign w:val="superscript"/>
          <w:lang w:val="en-GB" w:eastAsia="en-GB"/>
        </w:rPr>
        <w:t>2</w:t>
      </w:r>
      <w:r w:rsidRPr="005C7FE5">
        <w:rPr>
          <w:rFonts w:ascii="Times New Roman" w:hAnsi="Times New Roman" w:cs="Times New Roman"/>
          <w:lang w:val="en-GB" w:eastAsia="en-GB"/>
        </w:rPr>
        <w:t xml:space="preserve">, researchers have recently included predictive relevance developed by </w:t>
      </w:r>
      <w:r w:rsidRPr="005C7FE5">
        <w:rPr>
          <w:rFonts w:ascii="Times New Roman" w:hAnsi="Times New Roman" w:cs="Times New Roman"/>
          <w:lang w:val="en-GB" w:eastAsia="en-GB"/>
        </w:rPr>
        <w:fldChar w:fldCharType="begin" w:fldLock="1"/>
      </w:r>
      <w:r w:rsidRPr="005C7FE5">
        <w:rPr>
          <w:rFonts w:ascii="Times New Roman" w:hAnsi="Times New Roman" w:cs="Times New Roman"/>
          <w:lang w:val="en-GB" w:eastAsia="en-GB"/>
        </w:rPr>
        <w:instrText>ADDIN CSL_CITATION { "citationItems" : [ { "id" : "ITEM-1", "itemData" : { "author" : [ { "dropping-particle" : "", "family" : "Geisser", "given" : "Seymour", "non-dropping-particle" : "", "parse-names" : false, "suffix" : "" } ], "container-title" : "Journal of the American Statistical Association", "id" : "ITEM-1", "issue" : "350", "issued" : { "date-parts" : [ [ "1975" ] ] }, "page" : "320-328", "title" : "The predictive sample reuse method with applications", "type" : "article-journal", "volume" : "70" }, "uris" : [ "http://www.mendeley.com/documents/?uuid=917ef195-978b-4968-bfcf-a2ccb7665701" ] } ], "mendeley" : { "formattedCitation" : "(Geisser, 1975)", "manualFormatting" : "Geisser, (1975)", "plainTextFormattedCitation" : "(Geisser, 1975)", "previouslyFormattedCitation" : "(Geisser, 1975)" }, "properties" : { "noteIndex" : 0 }, "schema" : "https://github.com/citation-style-language/schema/raw/master/csl-citation.json" }</w:instrText>
      </w:r>
      <w:r w:rsidRPr="005C7FE5">
        <w:rPr>
          <w:rFonts w:ascii="Times New Roman" w:hAnsi="Times New Roman" w:cs="Times New Roman"/>
          <w:lang w:val="en-GB" w:eastAsia="en-GB"/>
        </w:rPr>
        <w:fldChar w:fldCharType="separate"/>
      </w:r>
      <w:r w:rsidRPr="005C7FE5">
        <w:rPr>
          <w:rFonts w:ascii="Times New Roman" w:hAnsi="Times New Roman" w:cs="Times New Roman"/>
          <w:noProof/>
          <w:lang w:val="en-GB" w:eastAsia="en-GB"/>
        </w:rPr>
        <w:t>Geisser, (1975)</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and </w:t>
      </w:r>
      <w:r w:rsidRPr="005C7FE5">
        <w:rPr>
          <w:rFonts w:ascii="Times New Roman" w:hAnsi="Times New Roman" w:cs="Times New Roman"/>
          <w:lang w:val="en-GB" w:eastAsia="en-GB"/>
        </w:rPr>
        <w:fldChar w:fldCharType="begin" w:fldLock="1"/>
      </w:r>
      <w:r w:rsidRPr="005C7FE5">
        <w:rPr>
          <w:rFonts w:ascii="Times New Roman" w:hAnsi="Times New Roman" w:cs="Times New Roman"/>
          <w:lang w:val="en-GB" w:eastAsia="en-GB"/>
        </w:rPr>
        <w:instrText>ADDIN CSL_CITATION { "citationItems" : [ { "id" : "ITEM-1", "itemData" : { "author" : [ { "dropping-particle" : "", "family" : "Stone", "given" : "M.", "non-dropping-particle" : "", "parse-names" : false, "suffix" : "" } ], "container-title" : "Journal of the Royal Statistical Society", "id" : "ITEM-1", "issue" : "2", "issued" : { "date-parts" : [ [ "1974" ] ] }, "page" : "111-147", "title" : "Cross-Validatory Choice and Assessment of Statistical Predictions", "type" : "article-journal", "volume" : "36" }, "uris" : [ "http://www.mendeley.com/documents/?uuid=2194d8ff-72ec-4a8f-9676-2c56020c62e4" ] } ], "mendeley" : { "formattedCitation" : "(Stone, 1974)", "manualFormatting" : "(Stone, 1974)", "plainTextFormattedCitation" : "(Stone, 1974)", "previouslyFormattedCitation" : "(Stone, 1974)" }, "properties" : { "noteIndex" : 0 }, "schema" : "https://github.com/citation-style-language/schema/raw/master/csl-citation.json" }</w:instrText>
      </w:r>
      <w:r w:rsidRPr="005C7FE5">
        <w:rPr>
          <w:rFonts w:ascii="Times New Roman" w:hAnsi="Times New Roman" w:cs="Times New Roman"/>
          <w:lang w:val="en-GB" w:eastAsia="en-GB"/>
        </w:rPr>
        <w:fldChar w:fldCharType="separate"/>
      </w:r>
      <w:r w:rsidRPr="005C7FE5">
        <w:rPr>
          <w:rFonts w:ascii="Times New Roman" w:hAnsi="Times New Roman" w:cs="Times New Roman"/>
          <w:noProof/>
          <w:lang w:val="en-GB" w:eastAsia="en-GB"/>
        </w:rPr>
        <w:t>(Stone, 1974)</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as additional model fit assessment. This technique </w:t>
      </w:r>
      <w:r w:rsidR="00CB3159">
        <w:rPr>
          <w:rFonts w:ascii="Times New Roman" w:hAnsi="Times New Roman" w:cs="Times New Roman"/>
          <w:lang w:val="en-GB" w:eastAsia="en-GB"/>
        </w:rPr>
        <w:t>show</w:t>
      </w:r>
      <w:r w:rsidRPr="005C7FE5">
        <w:rPr>
          <w:rFonts w:ascii="Times New Roman" w:hAnsi="Times New Roman" w:cs="Times New Roman"/>
          <w:lang w:val="en-GB" w:eastAsia="en-GB"/>
        </w:rPr>
        <w:t xml:space="preserve"> the model adequacy to predict the manifest indicators of each latent construct. Stone-</w:t>
      </w:r>
      <w:proofErr w:type="spellStart"/>
      <w:r w:rsidRPr="005C7FE5">
        <w:rPr>
          <w:rFonts w:ascii="Times New Roman" w:hAnsi="Times New Roman" w:cs="Times New Roman"/>
          <w:lang w:val="en-GB" w:eastAsia="en-GB"/>
        </w:rPr>
        <w:t>Geisser</w:t>
      </w:r>
      <w:proofErr w:type="spellEnd"/>
      <w:r w:rsidRPr="005C7FE5">
        <w:rPr>
          <w:rFonts w:ascii="Times New Roman" w:hAnsi="Times New Roman" w:cs="Times New Roman"/>
          <w:lang w:val="en-GB" w:eastAsia="en-GB"/>
        </w:rPr>
        <w:t xml:space="preserve"> Q</w:t>
      </w:r>
      <w:r w:rsidRPr="005C7FE5">
        <w:rPr>
          <w:rFonts w:ascii="Times New Roman" w:hAnsi="Times New Roman" w:cs="Times New Roman"/>
          <w:vertAlign w:val="superscript"/>
          <w:lang w:val="en-GB" w:eastAsia="en-GB"/>
        </w:rPr>
        <w:t>2</w:t>
      </w:r>
      <w:r w:rsidRPr="005C7FE5">
        <w:rPr>
          <w:rFonts w:ascii="Times New Roman" w:hAnsi="Times New Roman" w:cs="Times New Roman"/>
          <w:lang w:val="en-GB" w:eastAsia="en-GB"/>
        </w:rPr>
        <w:t xml:space="preserve"> (cross-validated redundancy) was computed to examine the predictive relevance using a blindfolding procedure in PLS. Following the guidelines suggested by </w:t>
      </w:r>
      <w:r w:rsidRPr="005C7FE5">
        <w:rPr>
          <w:rFonts w:ascii="Times New Roman" w:hAnsi="Times New Roman" w:cs="Times New Roman"/>
          <w:lang w:val="en-GB" w:eastAsia="en-GB"/>
        </w:rPr>
        <w:fldChar w:fldCharType="begin" w:fldLock="1"/>
      </w:r>
      <w:r w:rsidRPr="005C7FE5">
        <w:rPr>
          <w:rFonts w:ascii="Times New Roman" w:hAnsi="Times New Roman" w:cs="Times New Roman"/>
          <w:lang w:val="en-GB" w:eastAsia="en-GB"/>
        </w:rPr>
        <w:instrText>ADDIN CSL_CITATION { "citationItems" : [ { "id" : "ITEM-1", "itemData" : { "author" : [ { "dropping-particle" : "", "family" : "Chin", "given" : "Wynne W.", "non-dropping-particle" : "", "parse-names" : false, "suffix" : "" } ], "container-title" : "Springer", "id" : "ITEM-1", "issued" : { "date-parts" : [ [ "2010" ] ] }, "number-of-pages" : "655-690", "title" : "Handbook of Partial Least Squares", "type" : "book" }, "uris" : [ "http://www.mendeley.com/documents/?uuid=80221439-335f-440a-8483-45e5ea45215b" ] } ], "mendeley" : { "formattedCitation" : "(Chin, 2010)", "manualFormatting" : "Chin, (2010)", "plainTextFormattedCitation" : "(Chin, 2010)", "previouslyFormattedCitation" : "(Chin, 2010)" }, "properties" : { "noteIndex" : 0 }, "schema" : "https://github.com/citation-style-language/schema/raw/master/csl-citation.json" }</w:instrText>
      </w:r>
      <w:r w:rsidRPr="005C7FE5">
        <w:rPr>
          <w:rFonts w:ascii="Times New Roman" w:hAnsi="Times New Roman" w:cs="Times New Roman"/>
          <w:lang w:val="en-GB" w:eastAsia="en-GB"/>
        </w:rPr>
        <w:fldChar w:fldCharType="separate"/>
      </w:r>
      <w:r w:rsidRPr="005C7FE5">
        <w:rPr>
          <w:rFonts w:ascii="Times New Roman" w:hAnsi="Times New Roman" w:cs="Times New Roman"/>
          <w:noProof/>
          <w:lang w:val="en-GB" w:eastAsia="en-GB"/>
        </w:rPr>
        <w:t>Chin, (2010)</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the values of Q</w:t>
      </w:r>
      <w:r w:rsidRPr="005C7FE5">
        <w:rPr>
          <w:rFonts w:ascii="Times New Roman" w:hAnsi="Times New Roman" w:cs="Times New Roman"/>
          <w:vertAlign w:val="superscript"/>
          <w:lang w:val="en-GB" w:eastAsia="en-GB"/>
        </w:rPr>
        <w:t>2</w:t>
      </w:r>
      <w:r w:rsidRPr="005C7FE5">
        <w:rPr>
          <w:rFonts w:ascii="Times New Roman" w:hAnsi="Times New Roman" w:cs="Times New Roman"/>
          <w:lang w:val="en-GB" w:eastAsia="en-GB"/>
        </w:rPr>
        <w:t xml:space="preserve"> for </w:t>
      </w:r>
      <w:r w:rsidR="00580F41">
        <w:rPr>
          <w:rFonts w:ascii="Times New Roman" w:hAnsi="Times New Roman" w:cs="Times New Roman"/>
          <w:lang w:val="en-GB" w:eastAsia="en-GB"/>
        </w:rPr>
        <w:t>c</w:t>
      </w:r>
      <w:r w:rsidRPr="005C7FE5">
        <w:rPr>
          <w:rFonts w:ascii="Times New Roman" w:hAnsi="Times New Roman" w:cs="Times New Roman"/>
          <w:lang w:val="en-GB" w:eastAsia="en-GB"/>
        </w:rPr>
        <w:t xml:space="preserve">ompetitive </w:t>
      </w:r>
      <w:r w:rsidR="00580F41">
        <w:rPr>
          <w:rFonts w:ascii="Times New Roman" w:hAnsi="Times New Roman" w:cs="Times New Roman"/>
          <w:lang w:val="en-GB" w:eastAsia="en-GB"/>
        </w:rPr>
        <w:t>a</w:t>
      </w:r>
      <w:r w:rsidRPr="005C7FE5">
        <w:rPr>
          <w:rFonts w:ascii="Times New Roman" w:hAnsi="Times New Roman" w:cs="Times New Roman"/>
          <w:lang w:val="en-GB" w:eastAsia="en-GB"/>
        </w:rPr>
        <w:t xml:space="preserve">dvantages was 0.355, far greater than zero which refers to predictive relevance of the model. In sum, the model exhibits acceptable fit and high predictive relevance. </w:t>
      </w:r>
    </w:p>
    <w:p w14:paraId="4B170179" w14:textId="77777777" w:rsidR="001D4CAB" w:rsidRPr="005C7FE5" w:rsidRDefault="001D4CAB" w:rsidP="001D4CAB">
      <w:pPr>
        <w:spacing w:after="0" w:line="240" w:lineRule="auto"/>
        <w:rPr>
          <w:rFonts w:ascii="Times New Roman" w:hAnsi="Times New Roman" w:cs="Times New Roman"/>
          <w:lang w:val="en-GB" w:eastAsia="en-GB"/>
        </w:rPr>
      </w:pPr>
    </w:p>
    <w:p w14:paraId="4CA04C5C" w14:textId="77777777" w:rsidR="001D4CAB" w:rsidRPr="005C7FE5" w:rsidRDefault="001D4CAB" w:rsidP="001D4CAB">
      <w:pPr>
        <w:spacing w:after="0" w:line="240" w:lineRule="auto"/>
        <w:rPr>
          <w:rFonts w:ascii="Times New Roman" w:hAnsi="Times New Roman" w:cs="Times New Roman"/>
          <w:lang w:val="en-GB" w:eastAsia="en-GB"/>
        </w:rPr>
      </w:pPr>
      <w:r w:rsidRPr="005C7FE5">
        <w:rPr>
          <w:rFonts w:ascii="Times New Roman" w:hAnsi="Times New Roman" w:cs="Times New Roman"/>
          <w:lang w:val="en-GB" w:eastAsia="en-GB"/>
        </w:rPr>
        <w:t xml:space="preserve">Nonparametric bootstrapping was applied with 1000 replications to test structural model </w:t>
      </w:r>
      <w:r w:rsidRPr="005C7FE5">
        <w:rPr>
          <w:rFonts w:ascii="Times New Roman" w:hAnsi="Times New Roman" w:cs="Times New Roman"/>
          <w:lang w:val="en-GB" w:eastAsia="en-GB"/>
        </w:rPr>
        <w:fldChar w:fldCharType="begin" w:fldLock="1"/>
      </w:r>
      <w:r w:rsidRPr="005C7FE5">
        <w:rPr>
          <w:rFonts w:ascii="Times New Roman" w:hAnsi="Times New Roman" w:cs="Times New Roman"/>
          <w:lang w:val="en-GB" w:eastAsia="en-GB"/>
        </w:rPr>
        <w:instrText>ADDIN CSL_CITATION { "citationItems" : [ { "id" : "ITEM-1", "itemData" : { "author" : [ { "dropping-particle" : "", "family" : "Wetzels", "given" : "Martin", "non-dropping-particle" : "", "parse-names" : false, "suffix" : "" }, { "dropping-particle" : "", "family" : "Odekerken-Schr\u00f6der", "given" : "Gaby", "non-dropping-particle" : "", "parse-names" : false, "suffix" : "" }, { "dropping-particle" : "", "family" : "Oppen", "given" : "Claudia", "non-dropping-particle" : "van", "parse-names" : false, "suffix" : "" } ], "container-title" : "MIS Quarterly", "id" : "ITEM-1", "issue" : "1", "issued" : { "date-parts" : [ [ "2009" ] ] }, "page" : "177-195", "title" : "Using PLS path modeling for assessing hierarchical construct models: guidelines and empirical illustration", "type" : "article-journal", "volume" : "33" }, "uris" : [ "http://www.mendeley.com/documents/?uuid=1241537e-888c-4c5e-be4b-16ccb8e09299" ] } ], "mendeley" : { "formattedCitation" : "(Wetzels, Odekerken-Schr\u00f6der, &amp; van Oppen, 2009)", "plainTextFormattedCitation" : "(Wetzels, Odekerken-Schr\u00f6der, &amp; van Oppen, 2009)", "previouslyFormattedCitation" : "(Wetzels, Odekerken-Schr\u00f6der, &amp; van Oppen, 2009)" }, "properties" : { "noteIndex" : 0 }, "schema" : "https://github.com/citation-style-language/schema/raw/master/csl-citation.json" }</w:instrText>
      </w:r>
      <w:r w:rsidRPr="005C7FE5">
        <w:rPr>
          <w:rFonts w:ascii="Times New Roman" w:hAnsi="Times New Roman" w:cs="Times New Roman"/>
          <w:lang w:val="en-GB" w:eastAsia="en-GB"/>
        </w:rPr>
        <w:fldChar w:fldCharType="separate"/>
      </w:r>
      <w:r w:rsidRPr="005C7FE5">
        <w:rPr>
          <w:rFonts w:ascii="Times New Roman" w:hAnsi="Times New Roman" w:cs="Times New Roman"/>
          <w:noProof/>
          <w:lang w:val="en-GB" w:eastAsia="en-GB"/>
        </w:rPr>
        <w:t>(Wetzels, Odekerken-Schröder, &amp; van Oppen, 2009)</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The structural model resulting from the PLS analysis is summarized in </w:t>
      </w:r>
      <w:r w:rsidRPr="005C7FE5">
        <w:rPr>
          <w:rFonts w:ascii="Times New Roman" w:hAnsi="Times New Roman" w:cs="Times New Roman"/>
          <w:lang w:val="en-GB" w:eastAsia="en-GB"/>
        </w:rPr>
        <w:fldChar w:fldCharType="begin"/>
      </w:r>
      <w:r w:rsidRPr="005C7FE5">
        <w:rPr>
          <w:rFonts w:ascii="Times New Roman" w:hAnsi="Times New Roman" w:cs="Times New Roman"/>
          <w:lang w:val="en-GB" w:eastAsia="en-GB"/>
        </w:rPr>
        <w:instrText xml:space="preserve"> REF _Ref460316852 \h  \* MERGEFORMAT </w:instrText>
      </w:r>
      <w:r w:rsidRPr="005C7FE5">
        <w:rPr>
          <w:rFonts w:ascii="Times New Roman" w:hAnsi="Times New Roman" w:cs="Times New Roman"/>
          <w:lang w:val="en-GB" w:eastAsia="en-GB"/>
        </w:rPr>
      </w:r>
      <w:r w:rsidRPr="005C7FE5">
        <w:rPr>
          <w:rFonts w:ascii="Times New Roman" w:hAnsi="Times New Roman" w:cs="Times New Roman"/>
          <w:lang w:val="en-GB" w:eastAsia="en-GB"/>
        </w:rPr>
        <w:fldChar w:fldCharType="separate"/>
      </w:r>
      <w:r w:rsidR="00102CA7" w:rsidRPr="00F0155A">
        <w:rPr>
          <w:rFonts w:ascii="Times New Roman" w:hAnsi="Times New Roman" w:cs="Times New Roman"/>
        </w:rPr>
        <w:t xml:space="preserve">Figure </w:t>
      </w:r>
      <w:r w:rsidR="00102CA7">
        <w:rPr>
          <w:rFonts w:ascii="Times New Roman" w:hAnsi="Times New Roman" w:cs="Times New Roman"/>
          <w:noProof/>
        </w:rPr>
        <w:t>2</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w:t>
      </w:r>
    </w:p>
    <w:p w14:paraId="3C9E3140" w14:textId="77777777" w:rsidR="001D4CAB" w:rsidRDefault="001D4CAB" w:rsidP="001D4CAB">
      <w:pPr>
        <w:spacing w:after="0" w:line="240" w:lineRule="auto"/>
        <w:rPr>
          <w:rFonts w:ascii="Times New Roman" w:hAnsi="Times New Roman" w:cs="Times New Roman"/>
          <w:lang w:val="en-GB" w:eastAsia="en-GB"/>
        </w:rPr>
      </w:pPr>
    </w:p>
    <w:p w14:paraId="1BD43733" w14:textId="77777777" w:rsidR="001D4CAB" w:rsidRDefault="001D4CAB" w:rsidP="001D4CAB">
      <w:pPr>
        <w:spacing w:after="0" w:line="240" w:lineRule="auto"/>
        <w:rPr>
          <w:rFonts w:ascii="Times New Roman" w:hAnsi="Times New Roman" w:cs="Times New Roman"/>
          <w:lang w:val="en-GB" w:eastAsia="en-GB"/>
        </w:rPr>
      </w:pPr>
    </w:p>
    <w:p w14:paraId="375655ED" w14:textId="77777777" w:rsidR="001D4CAB" w:rsidRPr="00F0155A" w:rsidRDefault="001D4CAB" w:rsidP="001D4CAB">
      <w:pPr>
        <w:spacing w:after="0" w:line="240" w:lineRule="auto"/>
        <w:rPr>
          <w:rFonts w:ascii="Times New Roman" w:hAnsi="Times New Roman" w:cs="Times New Roman"/>
          <w:lang w:val="en-GB" w:eastAsia="en-GB"/>
        </w:rPr>
      </w:pPr>
    </w:p>
    <w:p w14:paraId="062B39FF" w14:textId="77777777" w:rsidR="001D4CAB" w:rsidRPr="00F0155A" w:rsidRDefault="001D4CAB" w:rsidP="001D4CAB">
      <w:pPr>
        <w:keepNext/>
        <w:jc w:val="center"/>
        <w:rPr>
          <w:rFonts w:ascii="Times New Roman" w:hAnsi="Times New Roman" w:cs="Times New Roman"/>
        </w:rPr>
      </w:pPr>
      <w:r w:rsidRPr="00F0155A">
        <w:rPr>
          <w:rFonts w:ascii="Times New Roman" w:hAnsi="Times New Roman" w:cs="Times New Roman"/>
          <w:noProof/>
        </w:rPr>
        <w:drawing>
          <wp:inline distT="0" distB="0" distL="0" distR="0" wp14:anchorId="27A8269B" wp14:editId="78DDDFE6">
            <wp:extent cx="5685744" cy="3989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284" cy="4000674"/>
                    </a:xfrm>
                    <a:prstGeom prst="rect">
                      <a:avLst/>
                    </a:prstGeom>
                    <a:noFill/>
                  </pic:spPr>
                </pic:pic>
              </a:graphicData>
            </a:graphic>
          </wp:inline>
        </w:drawing>
      </w:r>
    </w:p>
    <w:p w14:paraId="435C9765" w14:textId="77777777" w:rsidR="001D4CAB" w:rsidRDefault="001D4CAB" w:rsidP="001D4CAB">
      <w:pPr>
        <w:pStyle w:val="Caption"/>
        <w:rPr>
          <w:rFonts w:ascii="Times New Roman" w:hAnsi="Times New Roman" w:cs="Times New Roman"/>
          <w:szCs w:val="22"/>
        </w:rPr>
      </w:pPr>
      <w:bookmarkStart w:id="5" w:name="_Ref460316852"/>
      <w:r w:rsidRPr="00F0155A">
        <w:rPr>
          <w:rFonts w:ascii="Times New Roman" w:hAnsi="Times New Roman" w:cs="Times New Roman"/>
          <w:szCs w:val="22"/>
        </w:rPr>
        <w:t xml:space="preserve">Figure </w:t>
      </w:r>
      <w:r w:rsidRPr="00F0155A">
        <w:rPr>
          <w:rFonts w:ascii="Times New Roman" w:hAnsi="Times New Roman" w:cs="Times New Roman"/>
          <w:szCs w:val="22"/>
        </w:rPr>
        <w:fldChar w:fldCharType="begin"/>
      </w:r>
      <w:r w:rsidRPr="00F0155A">
        <w:rPr>
          <w:rFonts w:ascii="Times New Roman" w:hAnsi="Times New Roman" w:cs="Times New Roman"/>
          <w:szCs w:val="22"/>
        </w:rPr>
        <w:instrText xml:space="preserve"> SEQ Figure \* ARABIC </w:instrText>
      </w:r>
      <w:r w:rsidRPr="00F0155A">
        <w:rPr>
          <w:rFonts w:ascii="Times New Roman" w:hAnsi="Times New Roman" w:cs="Times New Roman"/>
          <w:szCs w:val="22"/>
        </w:rPr>
        <w:fldChar w:fldCharType="separate"/>
      </w:r>
      <w:r w:rsidR="00102CA7">
        <w:rPr>
          <w:rFonts w:ascii="Times New Roman" w:hAnsi="Times New Roman" w:cs="Times New Roman"/>
          <w:noProof/>
          <w:szCs w:val="22"/>
        </w:rPr>
        <w:t>2</w:t>
      </w:r>
      <w:r w:rsidRPr="00F0155A">
        <w:rPr>
          <w:rFonts w:ascii="Times New Roman" w:hAnsi="Times New Roman" w:cs="Times New Roman"/>
          <w:noProof/>
          <w:szCs w:val="22"/>
        </w:rPr>
        <w:fldChar w:fldCharType="end"/>
      </w:r>
      <w:bookmarkEnd w:id="5"/>
      <w:r w:rsidRPr="00F0155A">
        <w:rPr>
          <w:rFonts w:ascii="Times New Roman" w:hAnsi="Times New Roman" w:cs="Times New Roman"/>
          <w:szCs w:val="22"/>
        </w:rPr>
        <w:t>: PLS Analysis of the Structural Model</w:t>
      </w:r>
    </w:p>
    <w:p w14:paraId="045448E9" w14:textId="77777777" w:rsidR="001D4CAB" w:rsidRPr="00F0155A" w:rsidRDefault="001D4CAB" w:rsidP="001D4CAB">
      <w:pPr>
        <w:rPr>
          <w:rFonts w:ascii="Times New Roman" w:hAnsi="Times New Roman" w:cs="Times New Roman"/>
        </w:rPr>
      </w:pPr>
    </w:p>
    <w:p w14:paraId="307DBA48" w14:textId="77777777" w:rsidR="001D4CAB" w:rsidRPr="00F0155A" w:rsidRDefault="001D4CAB" w:rsidP="001D4CAB">
      <w:pPr>
        <w:spacing w:after="200" w:line="480" w:lineRule="auto"/>
        <w:rPr>
          <w:rFonts w:ascii="Times New Roman" w:hAnsi="Times New Roman" w:cs="Times New Roman"/>
          <w:lang w:val="en-GB" w:eastAsia="en-GB"/>
        </w:rPr>
      </w:pPr>
      <w:r w:rsidRPr="00F0155A">
        <w:rPr>
          <w:rFonts w:ascii="Times New Roman" w:hAnsi="Times New Roman" w:cs="Times New Roman"/>
          <w:lang w:val="en-GB" w:eastAsia="en-GB"/>
        </w:rPr>
        <w:t xml:space="preserve">As shown in </w:t>
      </w:r>
      <w:r w:rsidRPr="00F0155A">
        <w:rPr>
          <w:rFonts w:ascii="Times New Roman" w:hAnsi="Times New Roman" w:cs="Times New Roman"/>
          <w:lang w:val="en-GB" w:eastAsia="en-GB"/>
        </w:rPr>
        <w:fldChar w:fldCharType="begin"/>
      </w:r>
      <w:r w:rsidRPr="00F0155A">
        <w:rPr>
          <w:rFonts w:ascii="Times New Roman" w:hAnsi="Times New Roman" w:cs="Times New Roman"/>
          <w:lang w:val="en-GB" w:eastAsia="en-GB"/>
        </w:rPr>
        <w:instrText xml:space="preserve"> REF _Ref460316852 \h  \* MERGEFORMAT </w:instrText>
      </w:r>
      <w:r w:rsidRPr="00F0155A">
        <w:rPr>
          <w:rFonts w:ascii="Times New Roman" w:hAnsi="Times New Roman" w:cs="Times New Roman"/>
          <w:lang w:val="en-GB" w:eastAsia="en-GB"/>
        </w:rPr>
      </w:r>
      <w:r w:rsidRPr="00F0155A">
        <w:rPr>
          <w:rFonts w:ascii="Times New Roman" w:hAnsi="Times New Roman" w:cs="Times New Roman"/>
          <w:lang w:val="en-GB" w:eastAsia="en-GB"/>
        </w:rPr>
        <w:fldChar w:fldCharType="separate"/>
      </w:r>
      <w:r w:rsidR="00102CA7" w:rsidRPr="00F0155A">
        <w:rPr>
          <w:rFonts w:ascii="Times New Roman" w:hAnsi="Times New Roman" w:cs="Times New Roman"/>
        </w:rPr>
        <w:t xml:space="preserve">Figure </w:t>
      </w:r>
      <w:r w:rsidR="00102CA7">
        <w:rPr>
          <w:rFonts w:ascii="Times New Roman" w:hAnsi="Times New Roman" w:cs="Times New Roman"/>
          <w:noProof/>
        </w:rPr>
        <w:t>2</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 xml:space="preserve">, all of the hypotheses were supported. The details of examining hypotheses are presented in </w:t>
      </w:r>
      <w:r w:rsidRPr="00F0155A">
        <w:rPr>
          <w:rFonts w:ascii="Times New Roman" w:hAnsi="Times New Roman" w:cs="Times New Roman"/>
          <w:lang w:val="en-GB" w:eastAsia="en-GB"/>
        </w:rPr>
        <w:fldChar w:fldCharType="begin"/>
      </w:r>
      <w:r w:rsidRPr="00F0155A">
        <w:rPr>
          <w:rFonts w:ascii="Times New Roman" w:hAnsi="Times New Roman" w:cs="Times New Roman"/>
          <w:lang w:val="en-GB" w:eastAsia="en-GB"/>
        </w:rPr>
        <w:instrText xml:space="preserve"> REF _Ref446673392 \h  \* MERGEFORMAT </w:instrText>
      </w:r>
      <w:r w:rsidRPr="00F0155A">
        <w:rPr>
          <w:rFonts w:ascii="Times New Roman" w:hAnsi="Times New Roman" w:cs="Times New Roman"/>
          <w:lang w:val="en-GB" w:eastAsia="en-GB"/>
        </w:rPr>
      </w:r>
      <w:r w:rsidRPr="00F0155A">
        <w:rPr>
          <w:rFonts w:ascii="Times New Roman" w:hAnsi="Times New Roman" w:cs="Times New Roman"/>
          <w:lang w:val="en-GB" w:eastAsia="en-GB"/>
        </w:rPr>
        <w:fldChar w:fldCharType="separate"/>
      </w:r>
      <w:r w:rsidR="00102CA7" w:rsidRPr="00F0155A">
        <w:rPr>
          <w:rFonts w:ascii="Times New Roman" w:hAnsi="Times New Roman" w:cs="Times New Roman"/>
          <w:iCs/>
        </w:rPr>
        <w:t xml:space="preserve">Table </w:t>
      </w:r>
      <w:r w:rsidR="00102CA7">
        <w:rPr>
          <w:rFonts w:ascii="Times New Roman" w:hAnsi="Times New Roman" w:cs="Times New Roman"/>
          <w:iCs/>
          <w:noProof/>
        </w:rPr>
        <w:t>3</w:t>
      </w:r>
      <w:r w:rsidRPr="00F0155A">
        <w:rPr>
          <w:rFonts w:ascii="Times New Roman" w:hAnsi="Times New Roman" w:cs="Times New Roman"/>
          <w:lang w:val="en-GB" w:eastAsia="en-GB"/>
        </w:rPr>
        <w:fldChar w:fldCharType="end"/>
      </w:r>
      <w:r w:rsidRPr="00F0155A">
        <w:rPr>
          <w:rFonts w:ascii="Times New Roman" w:hAnsi="Times New Roman" w:cs="Times New Roman"/>
          <w:lang w:val="en-GB" w:eastAsia="en-GB"/>
        </w:rPr>
        <w:t>.</w:t>
      </w:r>
    </w:p>
    <w:p w14:paraId="6260395E" w14:textId="77777777" w:rsidR="001D4CAB" w:rsidRPr="00F0155A" w:rsidRDefault="001D4CAB" w:rsidP="001D4CAB">
      <w:pPr>
        <w:keepNext/>
        <w:spacing w:after="0" w:line="240" w:lineRule="auto"/>
        <w:jc w:val="center"/>
        <w:rPr>
          <w:rFonts w:ascii="Times New Roman" w:hAnsi="Times New Roman" w:cs="Times New Roman"/>
          <w:iCs/>
        </w:rPr>
      </w:pPr>
      <w:bookmarkStart w:id="6" w:name="_Ref446673392"/>
      <w:r w:rsidRPr="00F0155A">
        <w:rPr>
          <w:rFonts w:ascii="Times New Roman" w:hAnsi="Times New Roman" w:cs="Times New Roman"/>
          <w:iCs/>
        </w:rPr>
        <w:lastRenderedPageBreak/>
        <w:t xml:space="preserve">Table </w:t>
      </w:r>
      <w:r w:rsidRPr="00F0155A">
        <w:rPr>
          <w:rFonts w:ascii="Times New Roman" w:hAnsi="Times New Roman" w:cs="Times New Roman"/>
          <w:iCs/>
        </w:rPr>
        <w:fldChar w:fldCharType="begin"/>
      </w:r>
      <w:r w:rsidRPr="00F0155A">
        <w:rPr>
          <w:rFonts w:ascii="Times New Roman" w:hAnsi="Times New Roman" w:cs="Times New Roman"/>
          <w:iCs/>
        </w:rPr>
        <w:instrText xml:space="preserve"> SEQ Table \* ARABIC </w:instrText>
      </w:r>
      <w:r w:rsidRPr="00F0155A">
        <w:rPr>
          <w:rFonts w:ascii="Times New Roman" w:hAnsi="Times New Roman" w:cs="Times New Roman"/>
          <w:iCs/>
        </w:rPr>
        <w:fldChar w:fldCharType="separate"/>
      </w:r>
      <w:r w:rsidR="00102CA7">
        <w:rPr>
          <w:rFonts w:ascii="Times New Roman" w:hAnsi="Times New Roman" w:cs="Times New Roman"/>
          <w:iCs/>
          <w:noProof/>
        </w:rPr>
        <w:t>3</w:t>
      </w:r>
      <w:r w:rsidRPr="00F0155A">
        <w:rPr>
          <w:rFonts w:ascii="Times New Roman" w:hAnsi="Times New Roman" w:cs="Times New Roman"/>
          <w:iCs/>
          <w:noProof/>
        </w:rPr>
        <w:fldChar w:fldCharType="end"/>
      </w:r>
      <w:bookmarkEnd w:id="6"/>
      <w:r w:rsidRPr="00F0155A">
        <w:rPr>
          <w:rFonts w:ascii="Times New Roman" w:hAnsi="Times New Roman" w:cs="Times New Roman"/>
          <w:iCs/>
        </w:rPr>
        <w:t>, Examining Results of Hypotheses</w:t>
      </w:r>
    </w:p>
    <w:tbl>
      <w:tblPr>
        <w:tblStyle w:val="TableGrid52112"/>
        <w:tblW w:w="50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1416"/>
        <w:gridCol w:w="1137"/>
        <w:gridCol w:w="1560"/>
        <w:gridCol w:w="1559"/>
        <w:gridCol w:w="1559"/>
      </w:tblGrid>
      <w:tr w:rsidR="001D4CAB" w:rsidRPr="00F0155A" w14:paraId="24C291BC" w14:textId="77777777" w:rsidTr="001D4CAB">
        <w:trPr>
          <w:trHeight w:hRule="exact" w:val="575"/>
          <w:jc w:val="center"/>
        </w:trPr>
        <w:tc>
          <w:tcPr>
            <w:tcW w:w="1137" w:type="pct"/>
            <w:tcBorders>
              <w:top w:val="single" w:sz="4" w:space="0" w:color="auto"/>
              <w:bottom w:val="single" w:sz="4" w:space="0" w:color="auto"/>
            </w:tcBorders>
            <w:shd w:val="clear" w:color="auto" w:fill="auto"/>
            <w:vAlign w:val="center"/>
          </w:tcPr>
          <w:p w14:paraId="2085A37E" w14:textId="77777777" w:rsidR="001D4CAB" w:rsidRPr="00F0155A" w:rsidRDefault="001D4CAB" w:rsidP="001D4CAB">
            <w:pPr>
              <w:spacing w:after="0" w:line="240" w:lineRule="auto"/>
              <w:jc w:val="left"/>
              <w:rPr>
                <w:rFonts w:ascii="Times New Roman" w:eastAsia="Calibri" w:hAnsi="Times New Roman" w:cs="Times New Roman"/>
                <w:b/>
                <w:bCs/>
                <w:i/>
                <w:iCs/>
                <w:lang w:val="en-GB" w:eastAsia="x-none"/>
              </w:rPr>
            </w:pPr>
            <w:r w:rsidRPr="00F0155A">
              <w:rPr>
                <w:rFonts w:ascii="Times New Roman" w:eastAsia="Calibri" w:hAnsi="Times New Roman" w:cs="Times New Roman"/>
                <w:b/>
                <w:bCs/>
                <w:i/>
                <w:iCs/>
                <w:lang w:val="en-GB" w:eastAsia="x-none"/>
              </w:rPr>
              <w:t>Path Shape</w:t>
            </w:r>
          </w:p>
        </w:tc>
        <w:tc>
          <w:tcPr>
            <w:tcW w:w="756" w:type="pct"/>
            <w:tcBorders>
              <w:top w:val="single" w:sz="4" w:space="0" w:color="auto"/>
              <w:bottom w:val="single" w:sz="4" w:space="0" w:color="auto"/>
            </w:tcBorders>
            <w:shd w:val="clear" w:color="auto" w:fill="auto"/>
            <w:vAlign w:val="center"/>
          </w:tcPr>
          <w:p w14:paraId="41DDD22B" w14:textId="77777777" w:rsidR="001D4CAB" w:rsidRPr="00F0155A" w:rsidRDefault="001D4CAB" w:rsidP="001D4CAB">
            <w:pPr>
              <w:spacing w:after="0" w:line="240" w:lineRule="auto"/>
              <w:jc w:val="center"/>
              <w:rPr>
                <w:rFonts w:ascii="Times New Roman" w:eastAsia="Calibri" w:hAnsi="Times New Roman" w:cs="Times New Roman"/>
                <w:b/>
                <w:bCs/>
                <w:i/>
                <w:iCs/>
                <w:lang w:val="en-GB" w:eastAsia="x-none"/>
              </w:rPr>
            </w:pPr>
            <w:r w:rsidRPr="00F0155A">
              <w:rPr>
                <w:rFonts w:ascii="Times New Roman" w:eastAsia="Calibri" w:hAnsi="Times New Roman" w:cs="Times New Roman"/>
                <w:b/>
                <w:bCs/>
                <w:i/>
                <w:iCs/>
                <w:lang w:val="en-GB" w:eastAsia="x-none"/>
              </w:rPr>
              <w:t>Path Coefficient</w:t>
            </w:r>
          </w:p>
        </w:tc>
        <w:tc>
          <w:tcPr>
            <w:tcW w:w="607" w:type="pct"/>
            <w:tcBorders>
              <w:top w:val="single" w:sz="4" w:space="0" w:color="auto"/>
              <w:bottom w:val="single" w:sz="4" w:space="0" w:color="auto"/>
            </w:tcBorders>
            <w:shd w:val="clear" w:color="auto" w:fill="auto"/>
            <w:vAlign w:val="center"/>
          </w:tcPr>
          <w:p w14:paraId="75D49AB4" w14:textId="77777777" w:rsidR="001D4CAB" w:rsidRPr="00F0155A" w:rsidRDefault="001D4CAB" w:rsidP="001D4CAB">
            <w:pPr>
              <w:spacing w:after="0" w:line="240" w:lineRule="auto"/>
              <w:jc w:val="center"/>
              <w:rPr>
                <w:rFonts w:ascii="Times New Roman" w:eastAsia="Calibri" w:hAnsi="Times New Roman" w:cs="Times New Roman"/>
                <w:b/>
                <w:bCs/>
                <w:i/>
                <w:iCs/>
                <w:lang w:val="en-GB" w:eastAsia="x-none"/>
              </w:rPr>
            </w:pPr>
            <w:r w:rsidRPr="00F0155A">
              <w:rPr>
                <w:rFonts w:ascii="Times New Roman" w:eastAsia="Calibri" w:hAnsi="Times New Roman" w:cs="Times New Roman"/>
                <w:b/>
                <w:bCs/>
                <w:i/>
                <w:iCs/>
                <w:lang w:val="en-GB" w:eastAsia="x-none"/>
              </w:rPr>
              <w:t>Standard Error</w:t>
            </w:r>
          </w:p>
        </w:tc>
        <w:tc>
          <w:tcPr>
            <w:tcW w:w="833" w:type="pct"/>
            <w:tcBorders>
              <w:top w:val="single" w:sz="4" w:space="0" w:color="auto"/>
              <w:bottom w:val="single" w:sz="4" w:space="0" w:color="auto"/>
            </w:tcBorders>
            <w:shd w:val="clear" w:color="auto" w:fill="auto"/>
            <w:vAlign w:val="center"/>
          </w:tcPr>
          <w:p w14:paraId="783FD87C" w14:textId="77777777" w:rsidR="001D4CAB" w:rsidRPr="00F0155A" w:rsidRDefault="001D4CAB" w:rsidP="001D4CAB">
            <w:pPr>
              <w:spacing w:after="0" w:line="240" w:lineRule="auto"/>
              <w:jc w:val="center"/>
              <w:rPr>
                <w:rFonts w:ascii="Times New Roman" w:eastAsia="Calibri" w:hAnsi="Times New Roman" w:cs="Times New Roman"/>
                <w:b/>
                <w:bCs/>
                <w:i/>
                <w:iCs/>
                <w:lang w:val="en-GB" w:eastAsia="x-none"/>
              </w:rPr>
            </w:pPr>
            <w:r w:rsidRPr="00F0155A">
              <w:rPr>
                <w:rFonts w:ascii="Times New Roman" w:eastAsia="Calibri" w:hAnsi="Times New Roman" w:cs="Times New Roman"/>
                <w:b/>
                <w:bCs/>
                <w:i/>
                <w:iCs/>
                <w:lang w:val="en-GB" w:eastAsia="x-none"/>
              </w:rPr>
              <w:t>T-value</w:t>
            </w:r>
          </w:p>
        </w:tc>
        <w:tc>
          <w:tcPr>
            <w:tcW w:w="833" w:type="pct"/>
            <w:tcBorders>
              <w:top w:val="single" w:sz="4" w:space="0" w:color="auto"/>
              <w:bottom w:val="single" w:sz="4" w:space="0" w:color="auto"/>
            </w:tcBorders>
            <w:shd w:val="clear" w:color="auto" w:fill="auto"/>
            <w:vAlign w:val="center"/>
          </w:tcPr>
          <w:p w14:paraId="4460F8DE" w14:textId="77777777" w:rsidR="001D4CAB" w:rsidRPr="00F0155A" w:rsidRDefault="001D4CAB" w:rsidP="001D4CAB">
            <w:pPr>
              <w:spacing w:after="0" w:line="240" w:lineRule="auto"/>
              <w:jc w:val="center"/>
              <w:rPr>
                <w:rFonts w:ascii="Times New Roman" w:eastAsia="Calibri" w:hAnsi="Times New Roman" w:cs="Times New Roman"/>
                <w:b/>
                <w:bCs/>
                <w:i/>
                <w:iCs/>
                <w:lang w:val="en-GB" w:eastAsia="x-none"/>
              </w:rPr>
            </w:pPr>
            <w:r w:rsidRPr="00F0155A">
              <w:rPr>
                <w:rFonts w:ascii="Times New Roman" w:eastAsia="Calibri" w:hAnsi="Times New Roman" w:cs="Times New Roman"/>
                <w:b/>
                <w:bCs/>
                <w:i/>
                <w:iCs/>
                <w:lang w:val="en-GB" w:eastAsia="x-none"/>
              </w:rPr>
              <w:t>P-value</w:t>
            </w:r>
          </w:p>
        </w:tc>
        <w:tc>
          <w:tcPr>
            <w:tcW w:w="833" w:type="pct"/>
            <w:tcBorders>
              <w:top w:val="single" w:sz="4" w:space="0" w:color="auto"/>
              <w:bottom w:val="single" w:sz="4" w:space="0" w:color="auto"/>
            </w:tcBorders>
            <w:shd w:val="clear" w:color="auto" w:fill="auto"/>
            <w:vAlign w:val="center"/>
          </w:tcPr>
          <w:p w14:paraId="5738452C" w14:textId="77777777" w:rsidR="001D4CAB" w:rsidRPr="00F0155A" w:rsidRDefault="001D4CAB" w:rsidP="001D4CAB">
            <w:pPr>
              <w:spacing w:after="0" w:line="240" w:lineRule="auto"/>
              <w:jc w:val="center"/>
              <w:rPr>
                <w:rFonts w:ascii="Times New Roman" w:eastAsia="Calibri" w:hAnsi="Times New Roman" w:cs="Times New Roman"/>
                <w:b/>
                <w:bCs/>
                <w:i/>
                <w:iCs/>
                <w:lang w:val="en-GB" w:eastAsia="x-none"/>
              </w:rPr>
            </w:pPr>
            <w:r w:rsidRPr="00F0155A">
              <w:rPr>
                <w:rFonts w:ascii="Times New Roman" w:eastAsia="Calibri" w:hAnsi="Times New Roman" w:cs="Times New Roman"/>
                <w:b/>
                <w:bCs/>
                <w:i/>
                <w:iCs/>
                <w:lang w:val="en-GB" w:eastAsia="x-none"/>
              </w:rPr>
              <w:t>Hypothesis Result</w:t>
            </w:r>
          </w:p>
        </w:tc>
      </w:tr>
      <w:tr w:rsidR="001D4CAB" w:rsidRPr="00F0155A" w14:paraId="71F37169" w14:textId="77777777" w:rsidTr="001D4CAB">
        <w:trPr>
          <w:trHeight w:hRule="exact" w:val="284"/>
          <w:jc w:val="center"/>
        </w:trPr>
        <w:tc>
          <w:tcPr>
            <w:tcW w:w="1137" w:type="pct"/>
            <w:shd w:val="clear" w:color="auto" w:fill="FFFFFF" w:themeFill="background1"/>
            <w:vAlign w:val="center"/>
          </w:tcPr>
          <w:p w14:paraId="575DB096"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 xml:space="preserve">INN </w:t>
            </w:r>
            <w:r w:rsidRPr="00F0155A">
              <w:rPr>
                <w:rFonts w:ascii="Times New Roman" w:hAnsi="Times New Roman" w:cs="Times New Roman"/>
              </w:rPr>
              <w:sym w:font="Wingdings" w:char="F0E0"/>
            </w:r>
            <w:r w:rsidRPr="00F0155A">
              <w:rPr>
                <w:rFonts w:ascii="Times New Roman" w:hAnsi="Times New Roman" w:cs="Times New Roman"/>
              </w:rPr>
              <w:t xml:space="preserve"> CMA</w:t>
            </w:r>
          </w:p>
        </w:tc>
        <w:tc>
          <w:tcPr>
            <w:tcW w:w="756" w:type="pct"/>
            <w:tcBorders>
              <w:top w:val="nil"/>
              <w:left w:val="nil"/>
              <w:bottom w:val="nil"/>
              <w:right w:val="nil"/>
            </w:tcBorders>
            <w:shd w:val="clear" w:color="auto" w:fill="auto"/>
            <w:vAlign w:val="center"/>
          </w:tcPr>
          <w:p w14:paraId="404C5BC9"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0.238***</w:t>
            </w:r>
          </w:p>
        </w:tc>
        <w:tc>
          <w:tcPr>
            <w:tcW w:w="607" w:type="pct"/>
            <w:tcBorders>
              <w:top w:val="single" w:sz="4" w:space="0" w:color="auto"/>
              <w:left w:val="nil"/>
              <w:bottom w:val="nil"/>
              <w:right w:val="nil"/>
            </w:tcBorders>
            <w:shd w:val="clear" w:color="auto" w:fill="auto"/>
            <w:vAlign w:val="center"/>
          </w:tcPr>
          <w:p w14:paraId="4C69FA12"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0.036</w:t>
            </w:r>
          </w:p>
        </w:tc>
        <w:tc>
          <w:tcPr>
            <w:tcW w:w="833" w:type="pct"/>
            <w:tcBorders>
              <w:top w:val="single" w:sz="4" w:space="0" w:color="auto"/>
              <w:left w:val="nil"/>
              <w:bottom w:val="nil"/>
              <w:right w:val="nil"/>
            </w:tcBorders>
            <w:shd w:val="clear" w:color="auto" w:fill="auto"/>
            <w:vAlign w:val="center"/>
          </w:tcPr>
          <w:p w14:paraId="18AB6C64"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6.660</w:t>
            </w:r>
          </w:p>
        </w:tc>
        <w:tc>
          <w:tcPr>
            <w:tcW w:w="833" w:type="pct"/>
            <w:tcBorders>
              <w:top w:val="nil"/>
              <w:left w:val="nil"/>
              <w:bottom w:val="nil"/>
              <w:right w:val="nil"/>
            </w:tcBorders>
            <w:shd w:val="clear" w:color="auto" w:fill="auto"/>
            <w:vAlign w:val="center"/>
          </w:tcPr>
          <w:p w14:paraId="036A08BB"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0.000</w:t>
            </w:r>
          </w:p>
        </w:tc>
        <w:tc>
          <w:tcPr>
            <w:tcW w:w="833" w:type="pct"/>
            <w:tcBorders>
              <w:top w:val="single" w:sz="4" w:space="0" w:color="auto"/>
              <w:bottom w:val="nil"/>
            </w:tcBorders>
            <w:shd w:val="clear" w:color="auto" w:fill="FFFFFF" w:themeFill="background1"/>
            <w:vAlign w:val="center"/>
          </w:tcPr>
          <w:p w14:paraId="15DD9D97"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H1) Supported</w:t>
            </w:r>
          </w:p>
        </w:tc>
      </w:tr>
      <w:tr w:rsidR="001D4CAB" w:rsidRPr="00F0155A" w14:paraId="39699D95" w14:textId="77777777" w:rsidTr="001D4CAB">
        <w:trPr>
          <w:trHeight w:hRule="exact" w:val="284"/>
          <w:jc w:val="center"/>
        </w:trPr>
        <w:tc>
          <w:tcPr>
            <w:tcW w:w="1137" w:type="pct"/>
            <w:tcBorders>
              <w:bottom w:val="nil"/>
            </w:tcBorders>
            <w:shd w:val="clear" w:color="auto" w:fill="FFFFFF" w:themeFill="background1"/>
            <w:vAlign w:val="center"/>
          </w:tcPr>
          <w:p w14:paraId="2352B4E5"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 xml:space="preserve">PRA </w:t>
            </w:r>
            <w:r w:rsidRPr="00F0155A">
              <w:rPr>
                <w:rFonts w:ascii="Times New Roman" w:hAnsi="Times New Roman" w:cs="Times New Roman"/>
              </w:rPr>
              <w:sym w:font="Wingdings" w:char="F0E0"/>
            </w:r>
            <w:r w:rsidRPr="00F0155A">
              <w:rPr>
                <w:rFonts w:ascii="Times New Roman" w:hAnsi="Times New Roman" w:cs="Times New Roman"/>
              </w:rPr>
              <w:t xml:space="preserve"> CMA</w:t>
            </w:r>
          </w:p>
        </w:tc>
        <w:tc>
          <w:tcPr>
            <w:tcW w:w="756" w:type="pct"/>
            <w:tcBorders>
              <w:top w:val="nil"/>
              <w:left w:val="nil"/>
              <w:bottom w:val="nil"/>
              <w:right w:val="nil"/>
            </w:tcBorders>
            <w:shd w:val="clear" w:color="auto" w:fill="auto"/>
            <w:vAlign w:val="center"/>
          </w:tcPr>
          <w:p w14:paraId="36F27076"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0.242***</w:t>
            </w:r>
          </w:p>
        </w:tc>
        <w:tc>
          <w:tcPr>
            <w:tcW w:w="607" w:type="pct"/>
            <w:tcBorders>
              <w:top w:val="nil"/>
              <w:left w:val="nil"/>
              <w:bottom w:val="nil"/>
              <w:right w:val="nil"/>
            </w:tcBorders>
            <w:shd w:val="clear" w:color="auto" w:fill="auto"/>
            <w:vAlign w:val="center"/>
          </w:tcPr>
          <w:p w14:paraId="0DD12C59"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0.046</w:t>
            </w:r>
          </w:p>
        </w:tc>
        <w:tc>
          <w:tcPr>
            <w:tcW w:w="833" w:type="pct"/>
            <w:tcBorders>
              <w:top w:val="nil"/>
              <w:left w:val="nil"/>
              <w:bottom w:val="nil"/>
              <w:right w:val="nil"/>
            </w:tcBorders>
            <w:shd w:val="clear" w:color="auto" w:fill="auto"/>
            <w:vAlign w:val="center"/>
          </w:tcPr>
          <w:p w14:paraId="2C9EFEC4"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5.320</w:t>
            </w:r>
          </w:p>
        </w:tc>
        <w:tc>
          <w:tcPr>
            <w:tcW w:w="833" w:type="pct"/>
            <w:tcBorders>
              <w:top w:val="nil"/>
              <w:left w:val="nil"/>
              <w:bottom w:val="nil"/>
              <w:right w:val="nil"/>
            </w:tcBorders>
            <w:shd w:val="clear" w:color="auto" w:fill="auto"/>
            <w:vAlign w:val="center"/>
          </w:tcPr>
          <w:p w14:paraId="6AA07407"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0.000</w:t>
            </w:r>
          </w:p>
        </w:tc>
        <w:tc>
          <w:tcPr>
            <w:tcW w:w="833" w:type="pct"/>
            <w:tcBorders>
              <w:top w:val="nil"/>
              <w:bottom w:val="nil"/>
            </w:tcBorders>
            <w:shd w:val="clear" w:color="auto" w:fill="FFFFFF" w:themeFill="background1"/>
            <w:vAlign w:val="center"/>
          </w:tcPr>
          <w:p w14:paraId="28900DAE"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H2) Supported</w:t>
            </w:r>
          </w:p>
        </w:tc>
      </w:tr>
      <w:tr w:rsidR="001D4CAB" w:rsidRPr="00F0155A" w14:paraId="26DFF376" w14:textId="77777777" w:rsidTr="001D4CAB">
        <w:trPr>
          <w:trHeight w:hRule="exact" w:val="284"/>
          <w:jc w:val="center"/>
        </w:trPr>
        <w:tc>
          <w:tcPr>
            <w:tcW w:w="1137" w:type="pct"/>
            <w:tcBorders>
              <w:top w:val="nil"/>
              <w:bottom w:val="nil"/>
            </w:tcBorders>
            <w:shd w:val="clear" w:color="auto" w:fill="FFFFFF" w:themeFill="background1"/>
            <w:vAlign w:val="center"/>
          </w:tcPr>
          <w:p w14:paraId="23CF4103"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 xml:space="preserve">RSK </w:t>
            </w:r>
            <w:r w:rsidRPr="00F0155A">
              <w:rPr>
                <w:rFonts w:ascii="Times New Roman" w:hAnsi="Times New Roman" w:cs="Times New Roman"/>
              </w:rPr>
              <w:sym w:font="Wingdings" w:char="F0E0"/>
            </w:r>
            <w:r w:rsidRPr="00F0155A">
              <w:rPr>
                <w:rFonts w:ascii="Times New Roman" w:hAnsi="Times New Roman" w:cs="Times New Roman"/>
              </w:rPr>
              <w:t xml:space="preserve"> CMA</w:t>
            </w:r>
          </w:p>
        </w:tc>
        <w:tc>
          <w:tcPr>
            <w:tcW w:w="756" w:type="pct"/>
            <w:tcBorders>
              <w:top w:val="nil"/>
              <w:left w:val="nil"/>
              <w:bottom w:val="nil"/>
              <w:right w:val="nil"/>
            </w:tcBorders>
            <w:shd w:val="clear" w:color="auto" w:fill="auto"/>
            <w:vAlign w:val="center"/>
          </w:tcPr>
          <w:p w14:paraId="60FDC86F"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0.256***</w:t>
            </w:r>
          </w:p>
        </w:tc>
        <w:tc>
          <w:tcPr>
            <w:tcW w:w="607" w:type="pct"/>
            <w:tcBorders>
              <w:top w:val="nil"/>
              <w:left w:val="nil"/>
              <w:bottom w:val="nil"/>
              <w:right w:val="nil"/>
            </w:tcBorders>
            <w:shd w:val="clear" w:color="auto" w:fill="auto"/>
            <w:vAlign w:val="center"/>
          </w:tcPr>
          <w:p w14:paraId="02FF3AF2"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0.041</w:t>
            </w:r>
          </w:p>
        </w:tc>
        <w:tc>
          <w:tcPr>
            <w:tcW w:w="833" w:type="pct"/>
            <w:tcBorders>
              <w:top w:val="nil"/>
              <w:left w:val="nil"/>
              <w:bottom w:val="nil"/>
              <w:right w:val="nil"/>
            </w:tcBorders>
            <w:shd w:val="clear" w:color="auto" w:fill="auto"/>
            <w:vAlign w:val="center"/>
          </w:tcPr>
          <w:p w14:paraId="1485099E"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6.301</w:t>
            </w:r>
          </w:p>
        </w:tc>
        <w:tc>
          <w:tcPr>
            <w:tcW w:w="833" w:type="pct"/>
            <w:tcBorders>
              <w:top w:val="nil"/>
              <w:left w:val="nil"/>
              <w:bottom w:val="nil"/>
              <w:right w:val="nil"/>
            </w:tcBorders>
            <w:shd w:val="clear" w:color="auto" w:fill="auto"/>
            <w:vAlign w:val="center"/>
          </w:tcPr>
          <w:p w14:paraId="4ECEB29D"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0.000</w:t>
            </w:r>
          </w:p>
        </w:tc>
        <w:tc>
          <w:tcPr>
            <w:tcW w:w="833" w:type="pct"/>
            <w:tcBorders>
              <w:top w:val="nil"/>
              <w:bottom w:val="nil"/>
            </w:tcBorders>
            <w:shd w:val="clear" w:color="auto" w:fill="FFFFFF" w:themeFill="background1"/>
            <w:vAlign w:val="center"/>
          </w:tcPr>
          <w:p w14:paraId="6AA71510"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H3) Supported</w:t>
            </w:r>
          </w:p>
        </w:tc>
      </w:tr>
      <w:tr w:rsidR="001D4CAB" w:rsidRPr="00F0155A" w14:paraId="4B7FBB45" w14:textId="77777777" w:rsidTr="001D4CAB">
        <w:trPr>
          <w:trHeight w:hRule="exact" w:val="284"/>
          <w:jc w:val="center"/>
        </w:trPr>
        <w:tc>
          <w:tcPr>
            <w:tcW w:w="1137" w:type="pct"/>
            <w:tcBorders>
              <w:top w:val="nil"/>
              <w:bottom w:val="nil"/>
            </w:tcBorders>
          </w:tcPr>
          <w:p w14:paraId="788BB7E0"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 xml:space="preserve">(FNC * INN) </w:t>
            </w:r>
            <w:r w:rsidRPr="00F0155A">
              <w:rPr>
                <w:rFonts w:ascii="Times New Roman" w:hAnsi="Times New Roman" w:cs="Times New Roman"/>
              </w:rPr>
              <w:sym w:font="Wingdings" w:char="F0E0"/>
            </w:r>
            <w:r w:rsidRPr="00F0155A">
              <w:rPr>
                <w:rFonts w:ascii="Times New Roman" w:hAnsi="Times New Roman" w:cs="Times New Roman"/>
              </w:rPr>
              <w:t xml:space="preserve"> CMA</w:t>
            </w:r>
          </w:p>
        </w:tc>
        <w:tc>
          <w:tcPr>
            <w:tcW w:w="756" w:type="pct"/>
            <w:tcBorders>
              <w:top w:val="nil"/>
              <w:bottom w:val="nil"/>
            </w:tcBorders>
            <w:shd w:val="clear" w:color="auto" w:fill="auto"/>
            <w:vAlign w:val="center"/>
          </w:tcPr>
          <w:p w14:paraId="231A0D8E"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0.132***</w:t>
            </w:r>
          </w:p>
        </w:tc>
        <w:tc>
          <w:tcPr>
            <w:tcW w:w="607" w:type="pct"/>
            <w:tcBorders>
              <w:top w:val="nil"/>
              <w:bottom w:val="nil"/>
            </w:tcBorders>
            <w:shd w:val="clear" w:color="auto" w:fill="auto"/>
            <w:vAlign w:val="center"/>
          </w:tcPr>
          <w:p w14:paraId="3986B9C2"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0.034</w:t>
            </w:r>
          </w:p>
        </w:tc>
        <w:tc>
          <w:tcPr>
            <w:tcW w:w="833" w:type="pct"/>
            <w:tcBorders>
              <w:top w:val="nil"/>
              <w:bottom w:val="nil"/>
            </w:tcBorders>
            <w:shd w:val="clear" w:color="auto" w:fill="auto"/>
            <w:vAlign w:val="center"/>
          </w:tcPr>
          <w:p w14:paraId="009111A9"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3.912</w:t>
            </w:r>
          </w:p>
        </w:tc>
        <w:tc>
          <w:tcPr>
            <w:tcW w:w="833" w:type="pct"/>
            <w:tcBorders>
              <w:top w:val="nil"/>
              <w:bottom w:val="nil"/>
            </w:tcBorders>
            <w:shd w:val="clear" w:color="auto" w:fill="auto"/>
            <w:vAlign w:val="center"/>
          </w:tcPr>
          <w:p w14:paraId="585F2D20"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0.000</w:t>
            </w:r>
          </w:p>
        </w:tc>
        <w:tc>
          <w:tcPr>
            <w:tcW w:w="833" w:type="pct"/>
            <w:tcBorders>
              <w:top w:val="nil"/>
              <w:bottom w:val="nil"/>
            </w:tcBorders>
            <w:shd w:val="clear" w:color="auto" w:fill="FFFFFF" w:themeFill="background1"/>
            <w:vAlign w:val="center"/>
          </w:tcPr>
          <w:p w14:paraId="56530F53"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H4.1) Supported</w:t>
            </w:r>
          </w:p>
        </w:tc>
      </w:tr>
      <w:tr w:rsidR="001D4CAB" w:rsidRPr="00F0155A" w14:paraId="642BCFB6" w14:textId="77777777" w:rsidTr="001D4CAB">
        <w:trPr>
          <w:trHeight w:hRule="exact" w:val="284"/>
          <w:jc w:val="center"/>
        </w:trPr>
        <w:tc>
          <w:tcPr>
            <w:tcW w:w="1137" w:type="pct"/>
            <w:tcBorders>
              <w:top w:val="nil"/>
              <w:bottom w:val="nil"/>
            </w:tcBorders>
          </w:tcPr>
          <w:p w14:paraId="7E4010EB"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 xml:space="preserve">(FNC * PRA) </w:t>
            </w:r>
            <w:r w:rsidRPr="00F0155A">
              <w:rPr>
                <w:rFonts w:ascii="Times New Roman" w:hAnsi="Times New Roman" w:cs="Times New Roman"/>
              </w:rPr>
              <w:sym w:font="Wingdings" w:char="F0E0"/>
            </w:r>
            <w:r w:rsidRPr="00F0155A">
              <w:rPr>
                <w:rFonts w:ascii="Times New Roman" w:hAnsi="Times New Roman" w:cs="Times New Roman"/>
              </w:rPr>
              <w:t xml:space="preserve"> CMA</w:t>
            </w:r>
          </w:p>
        </w:tc>
        <w:tc>
          <w:tcPr>
            <w:tcW w:w="756" w:type="pct"/>
            <w:tcBorders>
              <w:top w:val="nil"/>
              <w:bottom w:val="nil"/>
            </w:tcBorders>
            <w:shd w:val="clear" w:color="auto" w:fill="auto"/>
            <w:vAlign w:val="center"/>
          </w:tcPr>
          <w:p w14:paraId="7AD5F2D1"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0.170**</w:t>
            </w:r>
          </w:p>
        </w:tc>
        <w:tc>
          <w:tcPr>
            <w:tcW w:w="607" w:type="pct"/>
            <w:tcBorders>
              <w:top w:val="nil"/>
              <w:bottom w:val="nil"/>
            </w:tcBorders>
            <w:shd w:val="clear" w:color="auto" w:fill="auto"/>
            <w:vAlign w:val="center"/>
          </w:tcPr>
          <w:p w14:paraId="7CD1280B"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0.052</w:t>
            </w:r>
          </w:p>
        </w:tc>
        <w:tc>
          <w:tcPr>
            <w:tcW w:w="833" w:type="pct"/>
            <w:tcBorders>
              <w:top w:val="nil"/>
              <w:bottom w:val="nil"/>
            </w:tcBorders>
            <w:shd w:val="clear" w:color="auto" w:fill="auto"/>
            <w:vAlign w:val="center"/>
          </w:tcPr>
          <w:p w14:paraId="7EFA3264"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3.305</w:t>
            </w:r>
          </w:p>
        </w:tc>
        <w:tc>
          <w:tcPr>
            <w:tcW w:w="833" w:type="pct"/>
            <w:tcBorders>
              <w:top w:val="nil"/>
              <w:bottom w:val="nil"/>
            </w:tcBorders>
            <w:shd w:val="clear" w:color="auto" w:fill="auto"/>
            <w:vAlign w:val="center"/>
          </w:tcPr>
          <w:p w14:paraId="5F6C2508"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0.001</w:t>
            </w:r>
          </w:p>
        </w:tc>
        <w:tc>
          <w:tcPr>
            <w:tcW w:w="833" w:type="pct"/>
            <w:tcBorders>
              <w:top w:val="nil"/>
              <w:bottom w:val="nil"/>
            </w:tcBorders>
            <w:shd w:val="clear" w:color="auto" w:fill="FFFFFF" w:themeFill="background1"/>
            <w:vAlign w:val="center"/>
          </w:tcPr>
          <w:p w14:paraId="52D583BD"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H4.2) Supported</w:t>
            </w:r>
          </w:p>
        </w:tc>
      </w:tr>
      <w:tr w:rsidR="001D4CAB" w:rsidRPr="00F0155A" w14:paraId="1DD9B13F" w14:textId="77777777" w:rsidTr="001D4CAB">
        <w:trPr>
          <w:trHeight w:hRule="exact" w:val="284"/>
          <w:jc w:val="center"/>
        </w:trPr>
        <w:tc>
          <w:tcPr>
            <w:tcW w:w="1137" w:type="pct"/>
            <w:tcBorders>
              <w:top w:val="nil"/>
              <w:bottom w:val="single" w:sz="4" w:space="0" w:color="auto"/>
            </w:tcBorders>
          </w:tcPr>
          <w:p w14:paraId="7FCC6217"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 xml:space="preserve">(FNC * RSK) </w:t>
            </w:r>
            <w:r w:rsidRPr="00F0155A">
              <w:rPr>
                <w:rFonts w:ascii="Times New Roman" w:hAnsi="Times New Roman" w:cs="Times New Roman"/>
              </w:rPr>
              <w:sym w:font="Wingdings" w:char="F0E0"/>
            </w:r>
            <w:r w:rsidRPr="00F0155A">
              <w:rPr>
                <w:rFonts w:ascii="Times New Roman" w:hAnsi="Times New Roman" w:cs="Times New Roman"/>
              </w:rPr>
              <w:t xml:space="preserve"> CMA</w:t>
            </w:r>
          </w:p>
        </w:tc>
        <w:tc>
          <w:tcPr>
            <w:tcW w:w="756" w:type="pct"/>
            <w:tcBorders>
              <w:top w:val="nil"/>
              <w:bottom w:val="single" w:sz="4" w:space="0" w:color="auto"/>
            </w:tcBorders>
            <w:shd w:val="clear" w:color="auto" w:fill="auto"/>
            <w:vAlign w:val="center"/>
          </w:tcPr>
          <w:p w14:paraId="5EDBF88D"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-0.144*</w:t>
            </w:r>
          </w:p>
        </w:tc>
        <w:tc>
          <w:tcPr>
            <w:tcW w:w="607" w:type="pct"/>
            <w:tcBorders>
              <w:top w:val="nil"/>
              <w:bottom w:val="single" w:sz="4" w:space="0" w:color="auto"/>
            </w:tcBorders>
            <w:shd w:val="clear" w:color="auto" w:fill="auto"/>
            <w:vAlign w:val="center"/>
          </w:tcPr>
          <w:p w14:paraId="37DB1E27"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0.071</w:t>
            </w:r>
          </w:p>
        </w:tc>
        <w:tc>
          <w:tcPr>
            <w:tcW w:w="833" w:type="pct"/>
            <w:tcBorders>
              <w:top w:val="nil"/>
              <w:bottom w:val="single" w:sz="4" w:space="0" w:color="auto"/>
            </w:tcBorders>
            <w:shd w:val="clear" w:color="auto" w:fill="auto"/>
            <w:vAlign w:val="center"/>
          </w:tcPr>
          <w:p w14:paraId="6C208B57"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2.025</w:t>
            </w:r>
          </w:p>
        </w:tc>
        <w:tc>
          <w:tcPr>
            <w:tcW w:w="833" w:type="pct"/>
            <w:tcBorders>
              <w:top w:val="nil"/>
              <w:bottom w:val="single" w:sz="4" w:space="0" w:color="auto"/>
            </w:tcBorders>
            <w:shd w:val="clear" w:color="auto" w:fill="auto"/>
            <w:vAlign w:val="center"/>
          </w:tcPr>
          <w:p w14:paraId="378E8C41"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rPr>
              <w:t>0.043</w:t>
            </w:r>
          </w:p>
        </w:tc>
        <w:tc>
          <w:tcPr>
            <w:tcW w:w="833" w:type="pct"/>
            <w:tcBorders>
              <w:top w:val="nil"/>
              <w:bottom w:val="single" w:sz="4" w:space="0" w:color="auto"/>
            </w:tcBorders>
            <w:shd w:val="clear" w:color="auto" w:fill="FFFFFF" w:themeFill="background1"/>
            <w:vAlign w:val="center"/>
          </w:tcPr>
          <w:p w14:paraId="72A778FF" w14:textId="77777777" w:rsidR="001D4CAB" w:rsidRPr="00F0155A" w:rsidRDefault="001D4CAB" w:rsidP="001D4CAB">
            <w:pPr>
              <w:spacing w:after="0" w:line="240" w:lineRule="auto"/>
              <w:jc w:val="left"/>
              <w:rPr>
                <w:rFonts w:ascii="Times New Roman" w:hAnsi="Times New Roman" w:cs="Times New Roman"/>
              </w:rPr>
            </w:pPr>
            <w:r w:rsidRPr="00F0155A">
              <w:rPr>
                <w:rFonts w:ascii="Times New Roman" w:hAnsi="Times New Roman" w:cs="Times New Roman"/>
              </w:rPr>
              <w:t>H4.3) Supported</w:t>
            </w:r>
          </w:p>
        </w:tc>
      </w:tr>
    </w:tbl>
    <w:p w14:paraId="437172DC" w14:textId="77777777" w:rsidR="001D4CAB" w:rsidRPr="00F0155A" w:rsidRDefault="001D4CAB" w:rsidP="001D4CAB">
      <w:pPr>
        <w:spacing w:after="0" w:line="240" w:lineRule="auto"/>
        <w:rPr>
          <w:rFonts w:ascii="Times New Roman" w:eastAsia="Calibri" w:hAnsi="Times New Roman" w:cs="Times New Roman"/>
          <w:lang w:val="en-GB"/>
        </w:rPr>
      </w:pPr>
      <w:r w:rsidRPr="00F0155A">
        <w:rPr>
          <w:rFonts w:ascii="Times New Roman" w:eastAsia="Calibri" w:hAnsi="Times New Roman" w:cs="Times New Roman"/>
          <w:lang w:val="en-GB"/>
        </w:rPr>
        <w:t xml:space="preserve">*p&lt; 0.05, **p&lt; 0.01, </w:t>
      </w:r>
      <w:r>
        <w:rPr>
          <w:rFonts w:ascii="Times New Roman" w:eastAsia="Calibri" w:hAnsi="Times New Roman" w:cs="Times New Roman"/>
          <w:lang w:val="en-GB"/>
        </w:rPr>
        <w:t xml:space="preserve">and </w:t>
      </w:r>
      <w:r w:rsidRPr="00F0155A">
        <w:rPr>
          <w:rFonts w:ascii="Times New Roman" w:eastAsia="Calibri" w:hAnsi="Times New Roman" w:cs="Times New Roman"/>
          <w:lang w:val="en-GB"/>
        </w:rPr>
        <w:t>***p&lt; 0.001</w:t>
      </w:r>
    </w:p>
    <w:p w14:paraId="72504BDE" w14:textId="77777777" w:rsidR="001D4CAB" w:rsidRPr="00F0155A" w:rsidRDefault="001D4CAB" w:rsidP="001D4CAB">
      <w:pPr>
        <w:spacing w:line="240" w:lineRule="auto"/>
        <w:rPr>
          <w:rFonts w:ascii="Times New Roman" w:hAnsi="Times New Roman" w:cs="Times New Roman"/>
          <w:lang w:val="en-GB" w:eastAsia="en-GB"/>
        </w:rPr>
      </w:pPr>
    </w:p>
    <w:p w14:paraId="0D7B7DB6" w14:textId="77777777" w:rsidR="001D4CAB" w:rsidRPr="005C7FE5" w:rsidRDefault="001D4CAB" w:rsidP="001D4CAB">
      <w:pPr>
        <w:spacing w:line="240" w:lineRule="auto"/>
        <w:rPr>
          <w:rFonts w:ascii="Times New Roman" w:hAnsi="Times New Roman" w:cs="Times New Roman"/>
        </w:rPr>
      </w:pPr>
      <w:r w:rsidRPr="005C7FE5">
        <w:rPr>
          <w:rFonts w:ascii="Times New Roman" w:hAnsi="Times New Roman" w:cs="Times New Roman"/>
          <w:lang w:val="en-GB" w:eastAsia="en-GB"/>
        </w:rPr>
        <w:t xml:space="preserve">As highlighted in </w:t>
      </w:r>
      <w:r w:rsidRPr="005C7FE5">
        <w:rPr>
          <w:rFonts w:ascii="Times New Roman" w:hAnsi="Times New Roman" w:cs="Times New Roman"/>
          <w:lang w:val="en-GB" w:eastAsia="en-GB"/>
        </w:rPr>
        <w:fldChar w:fldCharType="begin"/>
      </w:r>
      <w:r w:rsidRPr="005C7FE5">
        <w:rPr>
          <w:rFonts w:ascii="Times New Roman" w:hAnsi="Times New Roman" w:cs="Times New Roman"/>
          <w:lang w:val="en-GB" w:eastAsia="en-GB"/>
        </w:rPr>
        <w:instrText xml:space="preserve"> REF _Ref446673392 \h  \* MERGEFORMAT </w:instrText>
      </w:r>
      <w:r w:rsidRPr="005C7FE5">
        <w:rPr>
          <w:rFonts w:ascii="Times New Roman" w:hAnsi="Times New Roman" w:cs="Times New Roman"/>
          <w:lang w:val="en-GB" w:eastAsia="en-GB"/>
        </w:rPr>
      </w:r>
      <w:r w:rsidRPr="005C7FE5">
        <w:rPr>
          <w:rFonts w:ascii="Times New Roman" w:hAnsi="Times New Roman" w:cs="Times New Roman"/>
          <w:lang w:val="en-GB" w:eastAsia="en-GB"/>
        </w:rPr>
        <w:fldChar w:fldCharType="separate"/>
      </w:r>
      <w:r w:rsidR="00102CA7" w:rsidRPr="00F0155A">
        <w:rPr>
          <w:rFonts w:ascii="Times New Roman" w:hAnsi="Times New Roman" w:cs="Times New Roman"/>
          <w:iCs/>
        </w:rPr>
        <w:t xml:space="preserve">Table </w:t>
      </w:r>
      <w:r w:rsidR="00102CA7">
        <w:rPr>
          <w:rFonts w:ascii="Times New Roman" w:hAnsi="Times New Roman" w:cs="Times New Roman"/>
          <w:iCs/>
          <w:noProof/>
        </w:rPr>
        <w:t>3</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the direct effects of Innovation (INN), Pro-Activeness (PRA) and Risk Taking (RSK) on Competitive Advantage (CMA) were 0.238, 0.242 and 0.256 respectively. All of these effects were positive and significant as their p-values were all significance at 0.001 level. Therefore, the hypotheses H1, H2 and H3 were supported the model. </w:t>
      </w:r>
      <w:r w:rsidRPr="005C7FE5">
        <w:rPr>
          <w:rFonts w:ascii="Times New Roman" w:hAnsi="Times New Roman" w:cs="Times New Roman"/>
        </w:rPr>
        <w:t xml:space="preserve">The results of moderation analysis indicated that the interaction terms of Financing (FNC) with Innovation (INN), Pro-Activeness (PRA) and Risk Taking (RSK) had significant effects on Competitive Advantage (CMA) as all p-values were lower than the standard significance level of 0.05. The relative path coefficients were 0.132, 0.170 and -0.144 respectively. These results demonstrated that Financing (FNC) moderates the effects of Innovation (INN), Pro-Activeness (PRA) and Risk Taking (RSK) on Competitive Advantage (CMA). Therefore hypotheses H4.1, H4.2 and H4.3 were supported. </w:t>
      </w:r>
      <w:r w:rsidRPr="005C7FE5">
        <w:rPr>
          <w:rFonts w:ascii="Times New Roman" w:hAnsi="Times New Roman" w:cs="Times New Roman"/>
        </w:rPr>
        <w:fldChar w:fldCharType="begin"/>
      </w:r>
      <w:r w:rsidRPr="005C7FE5">
        <w:rPr>
          <w:rFonts w:ascii="Times New Roman" w:hAnsi="Times New Roman" w:cs="Times New Roman"/>
        </w:rPr>
        <w:instrText xml:space="preserve"> REF _Ref460780924 \h  \* MERGEFORMAT </w:instrText>
      </w:r>
      <w:r w:rsidRPr="005C7FE5">
        <w:rPr>
          <w:rFonts w:ascii="Times New Roman" w:hAnsi="Times New Roman" w:cs="Times New Roman"/>
        </w:rPr>
      </w:r>
      <w:r w:rsidRPr="005C7FE5">
        <w:rPr>
          <w:rFonts w:ascii="Times New Roman" w:hAnsi="Times New Roman" w:cs="Times New Roman"/>
        </w:rPr>
        <w:fldChar w:fldCharType="separate"/>
      </w:r>
      <w:r w:rsidR="00102CA7" w:rsidRPr="00F0155A">
        <w:rPr>
          <w:rFonts w:ascii="Times New Roman" w:hAnsi="Times New Roman" w:cs="Times New Roman"/>
        </w:rPr>
        <w:t xml:space="preserve">Figure </w:t>
      </w:r>
      <w:r w:rsidR="00102CA7">
        <w:rPr>
          <w:rFonts w:ascii="Times New Roman" w:hAnsi="Times New Roman" w:cs="Times New Roman"/>
          <w:noProof/>
        </w:rPr>
        <w:t>3</w:t>
      </w:r>
      <w:r w:rsidRPr="005C7FE5">
        <w:rPr>
          <w:rFonts w:ascii="Times New Roman" w:hAnsi="Times New Roman" w:cs="Times New Roman"/>
        </w:rPr>
        <w:fldChar w:fldCharType="end"/>
      </w:r>
      <w:r w:rsidRPr="005C7FE5">
        <w:rPr>
          <w:rFonts w:ascii="Times New Roman" w:hAnsi="Times New Roman" w:cs="Times New Roman"/>
        </w:rPr>
        <w:t xml:space="preserve"> shows the graphs of moderating effects of Financing (FNC) on the relationships between Innovation (INN), Pro-Activeness (PRA) and Risk Taking (RSK) as predictors and Competitive Advantage (CMA) as criterion.</w:t>
      </w:r>
    </w:p>
    <w:p w14:paraId="55925E8C" w14:textId="77777777" w:rsidR="001D4CAB" w:rsidRPr="00F0155A" w:rsidRDefault="001D4CAB" w:rsidP="001D4CAB">
      <w:pPr>
        <w:spacing w:line="276" w:lineRule="auto"/>
        <w:rPr>
          <w:rFonts w:ascii="Times New Roman" w:hAnsi="Times New Roman"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D4CAB" w:rsidRPr="00F0155A" w14:paraId="5D1BD81F" w14:textId="77777777" w:rsidTr="001D4CAB">
        <w:trPr>
          <w:jc w:val="center"/>
        </w:trPr>
        <w:tc>
          <w:tcPr>
            <w:tcW w:w="5000" w:type="pct"/>
            <w:vAlign w:val="center"/>
          </w:tcPr>
          <w:p w14:paraId="6B41F9DF" w14:textId="77777777" w:rsidR="001D4CAB" w:rsidRPr="00F0155A" w:rsidRDefault="001D4CAB" w:rsidP="001D4CAB">
            <w:pPr>
              <w:spacing w:after="0" w:line="240" w:lineRule="auto"/>
              <w:jc w:val="center"/>
              <w:rPr>
                <w:rFonts w:ascii="Times New Roman" w:hAnsi="Times New Roman" w:cs="Times New Roman"/>
              </w:rPr>
            </w:pPr>
            <w:r w:rsidRPr="00F0155A">
              <w:rPr>
                <w:rFonts w:ascii="Times New Roman" w:hAnsi="Times New Roman" w:cs="Times New Roman"/>
                <w:noProof/>
              </w:rPr>
              <w:drawing>
                <wp:inline distT="0" distB="0" distL="0" distR="0" wp14:anchorId="72E36FBD" wp14:editId="1A42A929">
                  <wp:extent cx="2742571" cy="179451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754190" cy="1802113"/>
                          </a:xfrm>
                          <a:prstGeom prst="rect">
                            <a:avLst/>
                          </a:prstGeom>
                          <a:noFill/>
                        </pic:spPr>
                      </pic:pic>
                    </a:graphicData>
                  </a:graphic>
                </wp:inline>
              </w:drawing>
            </w:r>
          </w:p>
        </w:tc>
      </w:tr>
      <w:tr w:rsidR="001D4CAB" w:rsidRPr="00F0155A" w14:paraId="5B9766BC" w14:textId="77777777" w:rsidTr="001D4CAB">
        <w:trPr>
          <w:jc w:val="center"/>
        </w:trPr>
        <w:tc>
          <w:tcPr>
            <w:tcW w:w="5000" w:type="pct"/>
            <w:vAlign w:val="center"/>
          </w:tcPr>
          <w:p w14:paraId="103EFDB3" w14:textId="77777777" w:rsidR="001D4CAB" w:rsidRPr="00F0155A" w:rsidRDefault="001D4CAB" w:rsidP="001D4CAB">
            <w:pPr>
              <w:spacing w:after="0" w:line="240" w:lineRule="auto"/>
              <w:jc w:val="center"/>
              <w:rPr>
                <w:rFonts w:ascii="Times New Roman" w:hAnsi="Times New Roman" w:cs="Times New Roman"/>
                <w:noProof/>
              </w:rPr>
            </w:pPr>
            <w:r w:rsidRPr="00F0155A">
              <w:rPr>
                <w:rFonts w:ascii="Times New Roman" w:hAnsi="Times New Roman" w:cs="Times New Roman"/>
                <w:noProof/>
              </w:rPr>
              <w:drawing>
                <wp:inline distT="0" distB="0" distL="0" distR="0" wp14:anchorId="0A605B58" wp14:editId="2D9D0374">
                  <wp:extent cx="2727455" cy="178461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3182" cy="1801453"/>
                          </a:xfrm>
                          <a:prstGeom prst="rect">
                            <a:avLst/>
                          </a:prstGeom>
                          <a:noFill/>
                        </pic:spPr>
                      </pic:pic>
                    </a:graphicData>
                  </a:graphic>
                </wp:inline>
              </w:drawing>
            </w:r>
          </w:p>
        </w:tc>
      </w:tr>
      <w:tr w:rsidR="001D4CAB" w:rsidRPr="00F0155A" w14:paraId="60B18965" w14:textId="77777777" w:rsidTr="001D4CAB">
        <w:trPr>
          <w:jc w:val="center"/>
        </w:trPr>
        <w:tc>
          <w:tcPr>
            <w:tcW w:w="5000" w:type="pct"/>
            <w:vAlign w:val="center"/>
          </w:tcPr>
          <w:p w14:paraId="5A4D28AA" w14:textId="77777777" w:rsidR="001D4CAB" w:rsidRPr="00F0155A" w:rsidRDefault="001D4CAB" w:rsidP="001D4CAB">
            <w:pPr>
              <w:keepNext/>
              <w:spacing w:after="0" w:line="240" w:lineRule="auto"/>
              <w:jc w:val="center"/>
              <w:rPr>
                <w:rFonts w:ascii="Times New Roman" w:hAnsi="Times New Roman" w:cs="Times New Roman"/>
                <w:noProof/>
              </w:rPr>
            </w:pPr>
            <w:r w:rsidRPr="00F0155A">
              <w:rPr>
                <w:rFonts w:ascii="Times New Roman" w:hAnsi="Times New Roman" w:cs="Times New Roman"/>
                <w:noProof/>
              </w:rPr>
              <w:lastRenderedPageBreak/>
              <w:drawing>
                <wp:inline distT="0" distB="0" distL="0" distR="0" wp14:anchorId="7B9A53BA" wp14:editId="6A8AF78F">
                  <wp:extent cx="2727038" cy="178434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7038" cy="1784347"/>
                          </a:xfrm>
                          <a:prstGeom prst="rect">
                            <a:avLst/>
                          </a:prstGeom>
                          <a:noFill/>
                        </pic:spPr>
                      </pic:pic>
                    </a:graphicData>
                  </a:graphic>
                </wp:inline>
              </w:drawing>
            </w:r>
          </w:p>
          <w:p w14:paraId="5D1DF0F3" w14:textId="77777777" w:rsidR="001D4CAB" w:rsidRPr="00F0155A" w:rsidRDefault="001D4CAB" w:rsidP="001D4CAB">
            <w:pPr>
              <w:keepNext/>
              <w:spacing w:after="0" w:line="240" w:lineRule="auto"/>
              <w:jc w:val="center"/>
              <w:rPr>
                <w:rFonts w:ascii="Times New Roman" w:hAnsi="Times New Roman" w:cs="Times New Roman"/>
                <w:noProof/>
              </w:rPr>
            </w:pPr>
          </w:p>
        </w:tc>
      </w:tr>
    </w:tbl>
    <w:p w14:paraId="15F0CFD8" w14:textId="77777777" w:rsidR="001D4CAB" w:rsidRPr="00F0155A" w:rsidRDefault="001D4CAB" w:rsidP="001D4CAB">
      <w:pPr>
        <w:pStyle w:val="Caption"/>
        <w:rPr>
          <w:rFonts w:ascii="Times New Roman" w:hAnsi="Times New Roman" w:cs="Times New Roman"/>
          <w:szCs w:val="22"/>
        </w:rPr>
      </w:pPr>
      <w:bookmarkStart w:id="7" w:name="_Ref460780924"/>
      <w:r w:rsidRPr="00F0155A">
        <w:rPr>
          <w:rFonts w:ascii="Times New Roman" w:hAnsi="Times New Roman" w:cs="Times New Roman"/>
          <w:szCs w:val="22"/>
        </w:rPr>
        <w:t xml:space="preserve">Figure </w:t>
      </w:r>
      <w:r w:rsidRPr="00F0155A">
        <w:rPr>
          <w:rFonts w:ascii="Times New Roman" w:hAnsi="Times New Roman" w:cs="Times New Roman"/>
          <w:szCs w:val="22"/>
        </w:rPr>
        <w:fldChar w:fldCharType="begin"/>
      </w:r>
      <w:r w:rsidRPr="00F0155A">
        <w:rPr>
          <w:rFonts w:ascii="Times New Roman" w:hAnsi="Times New Roman" w:cs="Times New Roman"/>
          <w:szCs w:val="22"/>
        </w:rPr>
        <w:instrText xml:space="preserve"> SEQ Figure \* ARABIC </w:instrText>
      </w:r>
      <w:r w:rsidRPr="00F0155A">
        <w:rPr>
          <w:rFonts w:ascii="Times New Roman" w:hAnsi="Times New Roman" w:cs="Times New Roman"/>
          <w:szCs w:val="22"/>
        </w:rPr>
        <w:fldChar w:fldCharType="separate"/>
      </w:r>
      <w:r w:rsidR="00102CA7">
        <w:rPr>
          <w:rFonts w:ascii="Times New Roman" w:hAnsi="Times New Roman" w:cs="Times New Roman"/>
          <w:noProof/>
          <w:szCs w:val="22"/>
        </w:rPr>
        <w:t>3</w:t>
      </w:r>
      <w:r w:rsidRPr="00F0155A">
        <w:rPr>
          <w:rFonts w:ascii="Times New Roman" w:hAnsi="Times New Roman" w:cs="Times New Roman"/>
          <w:noProof/>
          <w:szCs w:val="22"/>
        </w:rPr>
        <w:fldChar w:fldCharType="end"/>
      </w:r>
      <w:bookmarkEnd w:id="7"/>
      <w:r w:rsidRPr="00F0155A">
        <w:rPr>
          <w:rFonts w:ascii="Times New Roman" w:hAnsi="Times New Roman" w:cs="Times New Roman"/>
          <w:szCs w:val="22"/>
        </w:rPr>
        <w:t>: Moderation Effects of Financing on the Relationships between Innovation, Pro-Activeness and Risk Taking and Competitive Advantage</w:t>
      </w:r>
    </w:p>
    <w:p w14:paraId="52625760" w14:textId="77777777" w:rsidR="001D4CAB" w:rsidRPr="00F0155A" w:rsidRDefault="001D4CAB" w:rsidP="001D4CAB">
      <w:pPr>
        <w:spacing w:line="240" w:lineRule="auto"/>
        <w:rPr>
          <w:rFonts w:ascii="Times New Roman" w:hAnsi="Times New Roman" w:cs="Times New Roman"/>
        </w:rPr>
      </w:pPr>
    </w:p>
    <w:p w14:paraId="21BEE9C6" w14:textId="77777777" w:rsidR="001D4CAB" w:rsidRPr="005C7FE5" w:rsidRDefault="001D4CAB" w:rsidP="001D4CAB">
      <w:pPr>
        <w:spacing w:after="0" w:line="240" w:lineRule="auto"/>
        <w:rPr>
          <w:rFonts w:ascii="Times New Roman" w:hAnsi="Times New Roman" w:cs="Times New Roman"/>
        </w:rPr>
      </w:pPr>
      <w:r w:rsidRPr="005C7FE5">
        <w:rPr>
          <w:rFonts w:ascii="Times New Roman" w:hAnsi="Times New Roman" w:cs="Times New Roman"/>
        </w:rPr>
        <w:t xml:space="preserve">As shown in </w:t>
      </w:r>
      <w:r w:rsidRPr="005C7FE5">
        <w:rPr>
          <w:rFonts w:ascii="Times New Roman" w:hAnsi="Times New Roman" w:cs="Times New Roman"/>
        </w:rPr>
        <w:fldChar w:fldCharType="begin"/>
      </w:r>
      <w:r w:rsidRPr="005C7FE5">
        <w:rPr>
          <w:rFonts w:ascii="Times New Roman" w:hAnsi="Times New Roman" w:cs="Times New Roman"/>
        </w:rPr>
        <w:instrText xml:space="preserve"> REF _Ref460780924 \h  \* MERGEFORMAT </w:instrText>
      </w:r>
      <w:r w:rsidRPr="005C7FE5">
        <w:rPr>
          <w:rFonts w:ascii="Times New Roman" w:hAnsi="Times New Roman" w:cs="Times New Roman"/>
        </w:rPr>
      </w:r>
      <w:r w:rsidRPr="005C7FE5">
        <w:rPr>
          <w:rFonts w:ascii="Times New Roman" w:hAnsi="Times New Roman" w:cs="Times New Roman"/>
        </w:rPr>
        <w:fldChar w:fldCharType="separate"/>
      </w:r>
      <w:r w:rsidR="00102CA7" w:rsidRPr="00F0155A">
        <w:rPr>
          <w:rFonts w:ascii="Times New Roman" w:hAnsi="Times New Roman" w:cs="Times New Roman"/>
        </w:rPr>
        <w:t xml:space="preserve">Figure </w:t>
      </w:r>
      <w:r w:rsidR="00102CA7">
        <w:rPr>
          <w:rFonts w:ascii="Times New Roman" w:hAnsi="Times New Roman" w:cs="Times New Roman"/>
          <w:noProof/>
        </w:rPr>
        <w:t>3</w:t>
      </w:r>
      <w:r w:rsidRPr="005C7FE5">
        <w:rPr>
          <w:rFonts w:ascii="Times New Roman" w:hAnsi="Times New Roman" w:cs="Times New Roman"/>
        </w:rPr>
        <w:fldChar w:fldCharType="end"/>
      </w:r>
      <w:r w:rsidRPr="005C7FE5">
        <w:rPr>
          <w:rFonts w:ascii="Times New Roman" w:hAnsi="Times New Roman" w:cs="Times New Roman"/>
        </w:rPr>
        <w:t>, the two lines in each moderation graph indicated a positive relationship between the predictors and criterion. Due to The two lines were not parallel this mean that the moderating effects of Financing is existing. The relationships between Innovation and Pro-Activeness as predictors and Competitive Advantage as criterion were greater for the high level of financing compare to the low level.  Hence, it could be concluded that the Financing strengthen the positive effects of Innovation and Pro-Activeness on the Competitive Advantage. Conversely, the direct relationship between Risk Taking and Competitive Advantage become greater were the low level of financing existing compare to the high level of financing support.  Hence, it could be concluded that the Financing weaken the positive effects of Risk Taking on the Competitive Advantage.</w:t>
      </w:r>
    </w:p>
    <w:p w14:paraId="341B19FC" w14:textId="77777777" w:rsidR="001D4CAB" w:rsidRPr="005C7FE5" w:rsidRDefault="001D4CAB" w:rsidP="001D4CAB">
      <w:pPr>
        <w:pStyle w:val="Heading1"/>
        <w:rPr>
          <w:color w:val="auto"/>
        </w:rPr>
      </w:pPr>
      <w:r w:rsidRPr="005C7FE5">
        <w:rPr>
          <w:color w:val="auto"/>
        </w:rPr>
        <w:t xml:space="preserve">Discussion </w:t>
      </w:r>
    </w:p>
    <w:p w14:paraId="0EC0B636" w14:textId="4D27E966" w:rsidR="001D4CAB" w:rsidRPr="005C7FE5" w:rsidRDefault="001D4CAB" w:rsidP="003F55F5">
      <w:pPr>
        <w:spacing w:after="0" w:line="276" w:lineRule="auto"/>
        <w:rPr>
          <w:rFonts w:ascii="Times New Roman" w:hAnsi="Times New Roman" w:cs="Times New Roman"/>
          <w:lang w:val="en-GB" w:eastAsia="en-GB"/>
        </w:rPr>
      </w:pPr>
      <w:r w:rsidRPr="005C7FE5">
        <w:rPr>
          <w:rFonts w:ascii="Times New Roman" w:hAnsi="Times New Roman" w:cs="Times New Roman"/>
          <w:lang w:val="en-GB" w:eastAsia="en-GB"/>
        </w:rPr>
        <w:t>The first objective of this study was to investigate the influence of each individual dimension of EO (</w:t>
      </w:r>
      <w:proofErr w:type="gramStart"/>
      <w:r w:rsidRPr="005C7FE5">
        <w:rPr>
          <w:rFonts w:ascii="Times New Roman" w:hAnsi="Times New Roman" w:cs="Times New Roman"/>
          <w:lang w:val="en-GB" w:eastAsia="en-GB"/>
        </w:rPr>
        <w:t>INN ,</w:t>
      </w:r>
      <w:proofErr w:type="gramEnd"/>
      <w:r w:rsidRPr="005C7FE5">
        <w:rPr>
          <w:rFonts w:ascii="Times New Roman" w:hAnsi="Times New Roman" w:cs="Times New Roman"/>
          <w:lang w:val="en-GB" w:eastAsia="en-GB"/>
        </w:rPr>
        <w:t xml:space="preserve"> PRA, and RSK) on CMA. The influence of EOs dimension on CMA is represented by hypothesis H1, H2. </w:t>
      </w:r>
      <w:proofErr w:type="gramStart"/>
      <w:r w:rsidRPr="005C7FE5">
        <w:rPr>
          <w:rFonts w:ascii="Times New Roman" w:hAnsi="Times New Roman" w:cs="Times New Roman"/>
          <w:lang w:val="en-GB" w:eastAsia="en-GB"/>
        </w:rPr>
        <w:t>and</w:t>
      </w:r>
      <w:proofErr w:type="gramEnd"/>
      <w:r w:rsidRPr="005C7FE5">
        <w:rPr>
          <w:rFonts w:ascii="Times New Roman" w:hAnsi="Times New Roman" w:cs="Times New Roman"/>
          <w:lang w:val="en-GB" w:eastAsia="en-GB"/>
        </w:rPr>
        <w:t xml:space="preserve"> H3. The statistical results reveal a direct significant and positive relationship between each individual EOs dimension and CMA. As shown in Table 3, the direct effects of INN, PRA and RSK on CMA were 0.238, 0.242 and 0.256 respectively. All of these effects were positive and statistically significant as their p-values were all significance at 0.001 level. Thus, the hypotheses H1, H2 and H3 were supported. This finding is generally consistent with previous studies </w:t>
      </w:r>
      <w:r w:rsidRPr="005C7FE5">
        <w:rPr>
          <w:rFonts w:ascii="Times New Roman" w:hAnsi="Times New Roman" w:cs="Times New Roman"/>
          <w:lang w:val="en-GB" w:eastAsia="en-GB"/>
        </w:rPr>
        <w:fldChar w:fldCharType="begin" w:fldLock="1"/>
      </w:r>
      <w:r w:rsidRPr="005C7FE5">
        <w:rPr>
          <w:rFonts w:ascii="Times New Roman" w:hAnsi="Times New Roman" w:cs="Times New Roman"/>
          <w:lang w:val="en-GB" w:eastAsia="en-GB"/>
        </w:rPr>
        <w:instrText>ADDIN CSL_CITATION { "citationItems" : [ { "id" : "ITEM-1", "itemData" : { "author" : [ { "dropping-particle" : "", "family" : "Gitau", "given" : "Geoffrey", "non-dropping-particle" : "", "parse-names" : false, "suffix" : "" }, { "dropping-particle" : "", "family" : "Mukulu", "given" : "Elegwa", "non-dropping-particle" : "", "parse-names" : false, "suffix" : "" }, { "dropping-particle" : "", "family" : "Kihoro", "given" : "John", "non-dropping-particle" : "", "parse-names" : false, "suffix" : "" } ], "id" : "ITEM-1", "issue" : "2", "issued" : { "date-parts" : [ [ "2016" ] ] }, "page" : "2010-2016", "title" : "Influence of Entrepreneurial Orientation on Competitive Advantage among Mobile Service Providers in Kenya", "type" : "article-journal", "volume" : "3" }, "uris" : [ "http://www.mendeley.com/documents/?uuid=d1094978-5a89-4dd7-8a59-ca02bc80f9f0" ] }, { "id" : "ITEM-2", "itemData" : { "author" : [ { "dropping-particle" : "", "family" : "Kuratko", "given" : "Donald F.", "non-dropping-particle" : "", "parse-names" : false, "suffix" : "" }, { "dropping-particle" : "", "family" : "Ireland", "given" : "R. Duane", "non-dropping-particle" : "", "parse-names" : false, "suffix" : "" }, { "dropping-particle" : "", "family" : "Hornsby", "given" : "Jeffrey S.", "non-dropping-particle" : "", "parse-names" : false, "suffix" : "" } ], "container-title" : "Academy of Management Executive", "id" : "ITEM-2", "issue" : "4", "issued" : { "date-parts" : [ [ "2001" ] ] }, "page" : "60-71", "title" : "Improving firm performance through entrepreneurial actions: Acordia's corporate entrepreneurship strategy.", "type" : "article-journal", "volume" : "15" }, "uris" : [ "http://www.mendeley.com/documents/?uuid=f7d9ebc6-1537-44e8-88be-a247db0a9a6f" ] }, { "id" : "ITEM-3", "itemData" : { "author" : [ { "dropping-particle" : "", "family" : "Lechner", "given" : "C.", "non-dropping-particle" : "", "parse-names" : false, "suffix" : "" }, { "dropping-particle" : "V.", "family" : "Gudmundsson", "given" : "S.", "non-dropping-particle" : "", "parse-names" : false, "suffix" : "" } ], "container-title" : "International Small Business Journal", "id" : "ITEM-3", "issue" : "1", "issued" : { "date-parts" : [ [ "2014" ] ] }, "page" : "36-60", "title" : "Entrepreneurial orientation, firm strategy and small firm performance", "type" : "article-journal", "volume" : "32" }, "uris" : [ "http://www.mendeley.com/documents/?uuid=bfe257c8-b3a3-489b-a94e-257e62663ed7" ] } ], "mendeley" : { "formattedCitation" : "(Gitau et al., 2016; Kuratko et al., 2001; Lechner &amp; Gudmundsson, 2014)", "manualFormatting" : "Gitau et al., (2016); Kuratko et al., (2001); Lechner &amp; Gudmundsson, (2014)", "plainTextFormattedCitation" : "(Gitau et al., 2016; Kuratko et al., 2001; Lechner &amp; Gudmundsson, 2014)", "previouslyFormattedCitation" : "(Gitau et al., 2016; Kuratko et al., 2001; Lechner &amp; Gudmundsson, 2014)" }, "properties" : { "noteIndex" : 0 }, "schema" : "https://github.com/citation-style-language/schema/raw/master/csl-citation.json" }</w:instrText>
      </w:r>
      <w:r w:rsidRPr="005C7FE5">
        <w:rPr>
          <w:rFonts w:ascii="Times New Roman" w:hAnsi="Times New Roman" w:cs="Times New Roman"/>
          <w:lang w:val="en-GB" w:eastAsia="en-GB"/>
        </w:rPr>
        <w:fldChar w:fldCharType="separate"/>
      </w:r>
      <w:r w:rsidRPr="005C7FE5">
        <w:rPr>
          <w:rFonts w:ascii="Times New Roman" w:hAnsi="Times New Roman" w:cs="Times New Roman"/>
          <w:noProof/>
          <w:lang w:val="en-GB" w:eastAsia="en-GB"/>
        </w:rPr>
        <w:t>Gitau et al., (2016); Kuratko et al., (2001); Lechner &amp; Gudmundsson, (2014)</w:t>
      </w:r>
      <w:r w:rsidRPr="005C7FE5">
        <w:rPr>
          <w:rFonts w:ascii="Times New Roman" w:hAnsi="Times New Roman" w:cs="Times New Roman"/>
          <w:lang w:val="en-GB" w:eastAsia="en-GB"/>
        </w:rPr>
        <w:fldChar w:fldCharType="end"/>
      </w:r>
      <w:r w:rsidRPr="005C7FE5">
        <w:rPr>
          <w:rFonts w:ascii="Times New Roman" w:hAnsi="Times New Roman" w:cs="Times New Roman"/>
          <w:lang w:val="en-GB" w:eastAsia="en-GB"/>
        </w:rPr>
        <w:t xml:space="preserve"> that illustrated that each of EO's dimension had significant influence on CMA.</w:t>
      </w:r>
    </w:p>
    <w:p w14:paraId="121AEB0B" w14:textId="77777777" w:rsidR="001D4CAB" w:rsidRPr="005C7FE5" w:rsidRDefault="001D4CAB" w:rsidP="001D4CAB">
      <w:pPr>
        <w:spacing w:after="0" w:line="276" w:lineRule="auto"/>
        <w:rPr>
          <w:rFonts w:ascii="Times New Roman" w:hAnsi="Times New Roman" w:cs="Times New Roman"/>
          <w:lang w:val="en-GB" w:eastAsia="en-GB"/>
        </w:rPr>
      </w:pPr>
    </w:p>
    <w:p w14:paraId="2DB7CC08" w14:textId="0293D640" w:rsidR="001D4CAB" w:rsidRPr="005C7FE5" w:rsidRDefault="001D4CAB" w:rsidP="00CB3159">
      <w:pPr>
        <w:spacing w:after="0" w:line="276" w:lineRule="auto"/>
        <w:rPr>
          <w:rFonts w:ascii="Times New Roman" w:hAnsi="Times New Roman" w:cs="Times New Roman"/>
          <w:lang w:val="en-GB" w:eastAsia="en-GB"/>
        </w:rPr>
      </w:pPr>
      <w:r w:rsidRPr="005C7FE5">
        <w:rPr>
          <w:rFonts w:ascii="Times New Roman" w:hAnsi="Times New Roman" w:cs="Times New Roman"/>
          <w:lang w:val="en-GB" w:eastAsia="en-GB"/>
        </w:rPr>
        <w:t>The second objective of this study was to examine the moderated role of F</w:t>
      </w:r>
      <w:r w:rsidR="00CB3159">
        <w:rPr>
          <w:rFonts w:ascii="Times New Roman" w:hAnsi="Times New Roman" w:cs="Times New Roman"/>
          <w:lang w:val="en-GB" w:eastAsia="en-GB"/>
        </w:rPr>
        <w:t>NC</w:t>
      </w:r>
      <w:r w:rsidRPr="005C7FE5">
        <w:rPr>
          <w:rFonts w:ascii="Times New Roman" w:hAnsi="Times New Roman" w:cs="Times New Roman"/>
          <w:lang w:val="en-GB" w:eastAsia="en-GB"/>
        </w:rPr>
        <w:t xml:space="preserve"> between each individual EOs dimension and CMA. The moderated role between the influences of each EOs dimension on CMA is represented by hypothesis H4.1, H4.2. </w:t>
      </w:r>
      <w:proofErr w:type="gramStart"/>
      <w:r w:rsidRPr="005C7FE5">
        <w:rPr>
          <w:rFonts w:ascii="Times New Roman" w:hAnsi="Times New Roman" w:cs="Times New Roman"/>
          <w:lang w:val="en-GB" w:eastAsia="en-GB"/>
        </w:rPr>
        <w:t>and</w:t>
      </w:r>
      <w:proofErr w:type="gramEnd"/>
      <w:r w:rsidRPr="005C7FE5">
        <w:rPr>
          <w:rFonts w:ascii="Times New Roman" w:hAnsi="Times New Roman" w:cs="Times New Roman"/>
          <w:lang w:val="en-GB" w:eastAsia="en-GB"/>
        </w:rPr>
        <w:t xml:space="preserve"> H4.3. The statistical results show that FS moderated the influence of each individual EOs dimension on C</w:t>
      </w:r>
      <w:r w:rsidR="00CB3159">
        <w:rPr>
          <w:rFonts w:ascii="Times New Roman" w:hAnsi="Times New Roman" w:cs="Times New Roman"/>
          <w:lang w:val="en-GB" w:eastAsia="en-GB"/>
        </w:rPr>
        <w:t>M</w:t>
      </w:r>
      <w:r w:rsidRPr="005C7FE5">
        <w:rPr>
          <w:rFonts w:ascii="Times New Roman" w:hAnsi="Times New Roman" w:cs="Times New Roman"/>
          <w:lang w:val="en-GB" w:eastAsia="en-GB"/>
        </w:rPr>
        <w:t>A. The results of moderation analysis indicate</w:t>
      </w:r>
      <w:r w:rsidR="00CB3159">
        <w:rPr>
          <w:rFonts w:ascii="Times New Roman" w:hAnsi="Times New Roman" w:cs="Times New Roman"/>
          <w:lang w:val="en-GB" w:eastAsia="en-GB"/>
        </w:rPr>
        <w:t xml:space="preserve">d that the interaction terms of </w:t>
      </w:r>
      <w:r w:rsidRPr="005C7FE5">
        <w:rPr>
          <w:rFonts w:ascii="Times New Roman" w:hAnsi="Times New Roman" w:cs="Times New Roman"/>
          <w:lang w:val="en-GB" w:eastAsia="en-GB"/>
        </w:rPr>
        <w:t>FNC with INN, PRA and RSK had significant effects on CMA as all p-values were lower than the standard significance level of 0.05. The relative path coefficients were 0.132, 0.170 and -0.144 respectively. These results demonstrated that FNC moderates the effects of INN, PRA and Taking RSK on CMA. Therefore hypotheses H4.1, H4.2 and H4.3 were supported.</w:t>
      </w:r>
    </w:p>
    <w:p w14:paraId="7F1B09DF" w14:textId="77777777" w:rsidR="001D4CAB" w:rsidRPr="005C7FE5" w:rsidRDefault="001D4CAB" w:rsidP="001D4CAB">
      <w:pPr>
        <w:spacing w:after="0" w:line="276" w:lineRule="auto"/>
        <w:rPr>
          <w:rFonts w:ascii="Times New Roman" w:hAnsi="Times New Roman" w:cs="Times New Roman"/>
          <w:lang w:val="en-GB" w:eastAsia="en-GB"/>
        </w:rPr>
      </w:pPr>
    </w:p>
    <w:p w14:paraId="4B56AE57" w14:textId="17A789BA" w:rsidR="001D4CAB" w:rsidRPr="005C7FE5" w:rsidRDefault="001D4CAB" w:rsidP="001D4CAB">
      <w:pPr>
        <w:spacing w:after="0" w:line="240" w:lineRule="auto"/>
        <w:rPr>
          <w:rFonts w:ascii="Times New Roman" w:hAnsi="Times New Roman" w:cs="Times New Roman"/>
          <w:lang w:val="en-GB" w:eastAsia="en-GB"/>
        </w:rPr>
      </w:pPr>
      <w:r w:rsidRPr="005C7FE5">
        <w:rPr>
          <w:rFonts w:ascii="Times New Roman" w:hAnsi="Times New Roman" w:cs="Times New Roman"/>
          <w:lang w:val="en-GB" w:eastAsia="en-GB"/>
        </w:rPr>
        <w:t>The results of this study, support theorizing that FNC serves as an important factor for the influence of EO practices on C</w:t>
      </w:r>
      <w:r w:rsidR="00CB3159">
        <w:rPr>
          <w:rFonts w:ascii="Times New Roman" w:hAnsi="Times New Roman" w:cs="Times New Roman"/>
          <w:lang w:val="en-GB" w:eastAsia="en-GB"/>
        </w:rPr>
        <w:t>M</w:t>
      </w:r>
      <w:r w:rsidRPr="005C7FE5">
        <w:rPr>
          <w:rFonts w:ascii="Times New Roman" w:hAnsi="Times New Roman" w:cs="Times New Roman"/>
          <w:lang w:val="en-GB" w:eastAsia="en-GB"/>
        </w:rPr>
        <w:t>A. Indeed, the relationship between EO practices and C</w:t>
      </w:r>
      <w:r w:rsidR="00CB3159">
        <w:rPr>
          <w:rFonts w:ascii="Times New Roman" w:hAnsi="Times New Roman" w:cs="Times New Roman"/>
          <w:lang w:val="en-GB" w:eastAsia="en-GB"/>
        </w:rPr>
        <w:t>M</w:t>
      </w:r>
      <w:r w:rsidRPr="005C7FE5">
        <w:rPr>
          <w:rFonts w:ascii="Times New Roman" w:hAnsi="Times New Roman" w:cs="Times New Roman"/>
          <w:lang w:val="en-GB" w:eastAsia="en-GB"/>
        </w:rPr>
        <w:t xml:space="preserve">A is stronger for firms that are supported from the government. These findings provide preliminary support for </w:t>
      </w:r>
      <w:r w:rsidRPr="005C7FE5">
        <w:rPr>
          <w:rFonts w:ascii="Times New Roman" w:hAnsi="Times New Roman" w:cs="Times New Roman"/>
          <w:lang w:val="en-GB" w:eastAsia="en-GB"/>
        </w:rPr>
        <w:fldChar w:fldCharType="begin" w:fldLock="1"/>
      </w:r>
      <w:r w:rsidRPr="005C7FE5">
        <w:rPr>
          <w:rFonts w:ascii="Times New Roman" w:hAnsi="Times New Roman" w:cs="Times New Roman"/>
          <w:lang w:val="en-GB" w:eastAsia="en-GB"/>
        </w:rPr>
        <w:instrText>ADDIN CSL_CITATION { "citationItems" : [ { "id" : "ITEM-1", "itemData" : { "author" : [ { "dropping-particle" : "", "family" : "Messersmith", "given" : "Jake G.", "non-dropping-particle" : "", "parse-names" : false, "suffix" : "" }, { "dropping-particle" : "", "family" : "Wales", "given" : "W. J.", "non-dropping-particle" : "", "parse-names" : false, "suffix" : "" } ], "container-title" : "International Small Business Journal", "id" : "ITEM-1", "issue" : "2", "issued" : { "date-parts" : [ [ "2011" ] ] }, "page" : "115-136", "title" : "Entrepreneurial orientation and performance in young firms: The role of human resource management", "type" : "article-journal", "volume" : "31" }, "uris" : [ "http://www.mendeley.com/documents/?uuid=494e9f81-2bdc-4d4e-8c1c-5a4ac555f2b7" ] }, { "id" : "ITEM-2", "itemData" : { "author" : [ { "dropping-particle" : "", "family" : "Moreno", "given" : "Ana M.", "non-dropping-particle" : "", "parse-names" : false, "suffix" : "" }, { "dropping-particle" : "", "family" : "Casillas", "given" : "Jos\u00e9 C.", "non-dropping-particle" : "", "parse-names" : false, "suffix" : "" } ], "container-title" : "Entrepreneurship: Theory and Practice", "id" : "ITEM-2", "issue" : "3", "issued" : { "date-parts" : [ [ "2008" ] ] }, "page" : "507-528", "title" : "Entrepreneurial orientation and growth of SMEs: A causal model", "type" : "article-journal", "volume" : "32" }, "uris" : [ "http://www.mendeley.com/documents/?uuid=a4ae2f39-f2dd-4716-8c94-4a25bad90608" ] }, { "id" : "ITEM-3", "itemData" : { "author" : [ { "dropping-particle" : "", "family" : "Wales", "given" : "William J", "non-dropping-particle" : "", "parse-names" : false, "suffix" : "" }, { "dropping-particle" : "", "family" : "Gupta", "given" : "V. K.", "non-dropping-particle" : "", "parse-names" : false, "suffix" : "" }, { "dropping-particle" : "", "family" : "Mousa", "given" : "F.-T.", "non-dropping-particle" : "", "parse-names" : false, "suffix" : "" } ], "container-title" : "International Small Business Journal", "id" : "ITEM-3", "issue" : "4", "issued" : { "date-parts" : [ [ "2011" ] ] }, "page" : "357-383", "title" : "Empirical research on entrepreneurial orientation: An assessment and suggestions for future research", "type" : "article-journal", "volume" : "3" }, "uris" : [ "http://www.mendeley.com/documents/?uuid=2de9f340-a390-435c-8e15-37276836c26a" ] } ], "mendeley" : { "formattedCitation" : "(Messersmith &amp; Wales, 2011; Moreno &amp; Casillas, 2008; Wales, Gupta, &amp; Mousa, 2011)", "manualFormatting" : "(Messersmith &amp; Wales, (2011); Moreno &amp; Casillas, (2008); Wales, Gupta, &amp; Mousa, (2011)", "plainTextFormattedCitation" : "(Messersmith &amp; Wales, 2011; Moreno &amp; Casillas, 2008; Wales, Gupta, &amp; Mousa, 2011)", "previouslyFormattedCitation" : "(Messersmith &amp; Wales, 2011; Moreno &amp; Casillas, 2008; Wales, Gupta, &amp; Mousa, 2011)" }, "properties" : { "noteIndex" : 0 }, "schema" : "https://github.com/citation-style-language/schema/raw/master/csl-citation.json" }</w:instrText>
      </w:r>
      <w:r w:rsidRPr="005C7FE5">
        <w:rPr>
          <w:rFonts w:ascii="Times New Roman" w:hAnsi="Times New Roman" w:cs="Times New Roman"/>
          <w:lang w:val="en-GB" w:eastAsia="en-GB"/>
        </w:rPr>
        <w:fldChar w:fldCharType="separate"/>
      </w:r>
      <w:r w:rsidRPr="005C7FE5">
        <w:rPr>
          <w:rFonts w:ascii="Times New Roman" w:hAnsi="Times New Roman" w:cs="Times New Roman"/>
          <w:noProof/>
          <w:lang w:val="en-GB" w:eastAsia="en-GB"/>
        </w:rPr>
        <w:t xml:space="preserve">(Messersmith &amp; Wales, </w:t>
      </w:r>
      <w:r w:rsidRPr="005C7FE5">
        <w:rPr>
          <w:rFonts w:ascii="Times New Roman" w:hAnsi="Times New Roman" w:cs="Times New Roman"/>
          <w:noProof/>
          <w:lang w:val="en-GB" w:eastAsia="en-GB"/>
        </w:rPr>
        <w:lastRenderedPageBreak/>
        <w:t>(2011); Moreno &amp; Casillas, (2008); Wales, Gupta, &amp; Mousa, (2011)</w:t>
      </w:r>
      <w:r w:rsidRPr="005C7FE5">
        <w:rPr>
          <w:rFonts w:ascii="Times New Roman" w:hAnsi="Times New Roman" w:cs="Times New Roman"/>
          <w:lang w:val="en-GB" w:eastAsia="en-GB"/>
        </w:rPr>
        <w:fldChar w:fldCharType="end"/>
      </w:r>
      <w:r w:rsidRPr="005C7FE5">
        <w:rPr>
          <w:rFonts w:ascii="Times New Roman" w:hAnsi="Times New Roman" w:cs="Times New Roman"/>
        </w:rPr>
        <w:t xml:space="preserve"> who</w:t>
      </w:r>
      <w:r w:rsidRPr="005C7FE5">
        <w:rPr>
          <w:rFonts w:ascii="Times New Roman" w:hAnsi="Times New Roman" w:cs="Times New Roman"/>
          <w:lang w:val="en-GB" w:eastAsia="en-GB"/>
        </w:rPr>
        <w:t xml:space="preserve"> assertion that the influence of EO practices firm performance may depend on a moderator or mediator environmental variables. </w:t>
      </w:r>
    </w:p>
    <w:p w14:paraId="576B2309" w14:textId="09F99F28" w:rsidR="001D4CAB" w:rsidRPr="005C7FE5" w:rsidRDefault="001D4CAB" w:rsidP="00CB3159">
      <w:pPr>
        <w:pStyle w:val="Heading1"/>
        <w:rPr>
          <w:i/>
          <w:iCs/>
          <w:color w:val="auto"/>
        </w:rPr>
      </w:pPr>
      <w:r w:rsidRPr="005C7FE5">
        <w:rPr>
          <w:color w:val="auto"/>
        </w:rPr>
        <w:t xml:space="preserve">Conclusions and </w:t>
      </w:r>
      <w:r w:rsidR="00CB3159">
        <w:rPr>
          <w:color w:val="auto"/>
        </w:rPr>
        <w:t>policy</w:t>
      </w:r>
      <w:r w:rsidRPr="005C7FE5">
        <w:rPr>
          <w:color w:val="auto"/>
        </w:rPr>
        <w:t xml:space="preserve"> implications</w:t>
      </w:r>
      <w:r w:rsidRPr="005C7FE5">
        <w:rPr>
          <w:i/>
          <w:iCs/>
          <w:color w:val="auto"/>
        </w:rPr>
        <w:t xml:space="preserve"> </w:t>
      </w:r>
    </w:p>
    <w:p w14:paraId="442BEB88" w14:textId="3EA09AB6" w:rsidR="001D4CAB" w:rsidRPr="005C7FE5" w:rsidRDefault="001D4CAB" w:rsidP="001D4CAB">
      <w:pPr>
        <w:spacing w:line="276" w:lineRule="auto"/>
        <w:rPr>
          <w:rFonts w:ascii="Times New Roman" w:hAnsi="Times New Roman" w:cs="Times New Roman"/>
          <w:lang w:val="en-GB" w:eastAsia="en-GB" w:bidi="ar-JO"/>
        </w:rPr>
      </w:pPr>
      <w:r w:rsidRPr="005C7FE5">
        <w:rPr>
          <w:rFonts w:ascii="Times New Roman" w:hAnsi="Times New Roman" w:cs="Times New Roman"/>
          <w:lang w:val="en-GB" w:eastAsia="en-GB" w:bidi="ar-JO"/>
        </w:rPr>
        <w:t xml:space="preserve">This study attempted to examine the EO's dimension, CMA, and FNC in Kurdistan Region SMEs. More specifically, the objective was to explain the influence of EO’s dimension on CMA, as well as the moderating effect of FS on the relationship between each dimension of EO and CMA. Structural Equation Modelling (SEM) was employed to examine the relationship among the variables. The targeted sample size was 680 from a total manager population in 3526 SMEs working in Kurdistan Region Government (KRG) in Iraq. Based on 580 usable questionnaires, the results of this study indicate that each individual dimension of EO (INN, PRA, and RSK) had positive and significant influence on </w:t>
      </w:r>
      <w:r w:rsidR="00AB1A84">
        <w:rPr>
          <w:rFonts w:ascii="Times New Roman" w:hAnsi="Times New Roman" w:cs="Times New Roman"/>
          <w:lang w:val="en-GB" w:eastAsia="en-GB" w:bidi="ar-JO"/>
        </w:rPr>
        <w:t xml:space="preserve">CMA. </w:t>
      </w:r>
      <w:r w:rsidRPr="005C7FE5">
        <w:rPr>
          <w:rFonts w:ascii="Times New Roman" w:hAnsi="Times New Roman" w:cs="Times New Roman"/>
          <w:lang w:val="en-GB" w:eastAsia="en-GB" w:bidi="ar-JO"/>
        </w:rPr>
        <w:t xml:space="preserve">The results also reveal that FNC moderated the relationship between each dimension of EO and CMA.  </w:t>
      </w:r>
    </w:p>
    <w:p w14:paraId="63F7A362" w14:textId="77777777" w:rsidR="001D4CAB" w:rsidRPr="005C7FE5" w:rsidRDefault="001D4CAB" w:rsidP="001D4CAB">
      <w:pPr>
        <w:spacing w:line="240" w:lineRule="auto"/>
        <w:rPr>
          <w:rFonts w:ascii="Times New Roman" w:hAnsi="Times New Roman" w:cs="Times New Roman"/>
        </w:rPr>
      </w:pPr>
      <w:r w:rsidRPr="005C7FE5">
        <w:rPr>
          <w:rFonts w:ascii="Times New Roman" w:hAnsi="Times New Roman" w:cs="Times New Roman"/>
        </w:rPr>
        <w:t xml:space="preserve">This study has several implications for policymakers, researchers and small firm owner/managers. It contribute to existing literature through addressing the issues that, in previous study, had been suggested to advance EO understanding: to analyze the effect of each individual EO dimensions on CMA.  Competitive advantage matters for small firms because individual EO dimensions would impact upon the two competitive advantage. The study has confirmed that the EO dimensions do an effect   on CMA positively, and advances the understanding of the relative impact of EO dimensions on CMA. The study also contributes to integrate the field of EO with CMA through moderator variable that FNC that consisted with the suggestion of previous studies </w:t>
      </w:r>
      <w:r w:rsidRPr="005C7FE5">
        <w:rPr>
          <w:rFonts w:cstheme="majorBidi"/>
        </w:rPr>
        <w:t xml:space="preserve">variables </w:t>
      </w:r>
      <w:proofErr w:type="spellStart"/>
      <w:r w:rsidRPr="005C7FE5">
        <w:rPr>
          <w:rFonts w:cstheme="majorBidi"/>
        </w:rPr>
        <w:t>Messersmith</w:t>
      </w:r>
      <w:proofErr w:type="spellEnd"/>
      <w:r w:rsidRPr="005C7FE5">
        <w:rPr>
          <w:rFonts w:cstheme="majorBidi"/>
        </w:rPr>
        <w:t xml:space="preserve"> and Wales, (2011); Moreno and Casillas, (2008); Rauch et al., (2009); Wales et al., (2011a) </w:t>
      </w:r>
      <w:r w:rsidRPr="005C7FE5">
        <w:rPr>
          <w:rFonts w:ascii="Times New Roman" w:hAnsi="Times New Roman" w:cs="Times New Roman"/>
        </w:rPr>
        <w:t xml:space="preserve">that argued that the relationship between EO and CMA is moderated or mediated by external variables. </w:t>
      </w:r>
      <w:r w:rsidRPr="005C7FE5">
        <w:rPr>
          <w:rFonts w:ascii="Times New Roman" w:hAnsi="Times New Roman" w:cs="Times New Roman"/>
          <w:lang w:val="en-GB" w:eastAsia="en-GB"/>
        </w:rPr>
        <w:t>Thus the finding of this study may lead and promote researcher for understanding of the cross-contextual variation of the EO–CMA link</w:t>
      </w:r>
    </w:p>
    <w:p w14:paraId="2E43E4C8" w14:textId="77777777" w:rsidR="001D4CAB" w:rsidRPr="005C7FE5" w:rsidRDefault="001D4CAB" w:rsidP="001D4CAB">
      <w:pPr>
        <w:spacing w:line="240" w:lineRule="auto"/>
        <w:rPr>
          <w:rFonts w:ascii="Times New Roman" w:hAnsi="Times New Roman" w:cs="Times New Roman"/>
          <w:lang w:val="en-GB" w:eastAsia="en-GB"/>
        </w:rPr>
      </w:pPr>
      <w:r w:rsidRPr="005C7FE5">
        <w:rPr>
          <w:rFonts w:ascii="Times New Roman" w:hAnsi="Times New Roman" w:cs="Times New Roman"/>
        </w:rPr>
        <w:t>The implication of this study to small firm owner/managers is that, it shows entrepreneurship as an essential tool for exploring and exploiting opportunities. In addition, successful small firms have an important contributors to regional and national economy. If the policy makers aim to create more employment opportunities and economic development through successful small firms, they have to develop systems that emphasize the importance of ‘‘entrepreneurship’’ for the small firm</w:t>
      </w:r>
      <w:r w:rsidRPr="005C7FE5">
        <w:rPr>
          <w:rFonts w:ascii="Times New Roman" w:hAnsi="Times New Roman" w:cs="Times New Roman"/>
          <w:lang w:val="en-GB" w:eastAsia="en-GB"/>
        </w:rPr>
        <w:t>.</w:t>
      </w:r>
    </w:p>
    <w:p w14:paraId="7DACA1FF" w14:textId="77777777" w:rsidR="001D4CAB" w:rsidRPr="005C7FE5" w:rsidRDefault="001D4CAB" w:rsidP="001D4CAB">
      <w:pPr>
        <w:autoSpaceDE w:val="0"/>
        <w:autoSpaceDN w:val="0"/>
        <w:adjustRightInd w:val="0"/>
        <w:spacing w:after="0" w:line="240" w:lineRule="auto"/>
        <w:rPr>
          <w:rFonts w:cstheme="majorBidi"/>
          <w:sz w:val="24"/>
          <w:szCs w:val="24"/>
        </w:rPr>
      </w:pPr>
      <w:r w:rsidRPr="005C7FE5">
        <w:rPr>
          <w:rFonts w:cstheme="majorBidi"/>
          <w:sz w:val="24"/>
          <w:szCs w:val="24"/>
        </w:rPr>
        <w:t xml:space="preserve">This study has some limitations. First, it focused on SMEs in Iraq, which make difficult to generalize its result, due to the context of the study was focus in the local scale. The researchers propose to do similar studies on SMEs in other countries. Second, this study examined the moderated role of FNC between EO and CMA. However, this study do not focus on other types of governmental support that may affect the relationship between EO and CMA. Thus, further study might gain additional insight by exploring other moderator such as regulations, programs support, training, and infrastructure.  </w:t>
      </w:r>
    </w:p>
    <w:p w14:paraId="62CFAF91" w14:textId="77777777" w:rsidR="001D4CAB" w:rsidRDefault="001D4CAB" w:rsidP="001D4CAB">
      <w:pPr>
        <w:spacing w:line="240" w:lineRule="auto"/>
        <w:rPr>
          <w:rFonts w:ascii="Times New Roman" w:hAnsi="Times New Roman" w:cs="Times New Roman"/>
          <w:lang w:eastAsia="en-GB"/>
        </w:rPr>
      </w:pPr>
    </w:p>
    <w:p w14:paraId="1BA1315E" w14:textId="77777777" w:rsidR="00362AFA" w:rsidRDefault="00362AFA" w:rsidP="00362AFA">
      <w:pPr>
        <w:pStyle w:val="Heading1"/>
        <w:numPr>
          <w:ilvl w:val="0"/>
          <w:numId w:val="0"/>
        </w:numPr>
      </w:pPr>
      <w:r>
        <w:t>References</w:t>
      </w:r>
    </w:p>
    <w:p w14:paraId="01A4F524" w14:textId="77777777" w:rsidR="00362AFA" w:rsidRPr="00362AFA" w:rsidRDefault="00362AFA" w:rsidP="00362AFA">
      <w:pPr>
        <w:spacing w:line="240" w:lineRule="auto"/>
        <w:rPr>
          <w:lang w:val="en-GB" w:eastAsia="en-GB"/>
        </w:rPr>
      </w:pPr>
    </w:p>
    <w:p w14:paraId="11EF962E" w14:textId="77777777" w:rsidR="00362AFA"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Pr>
          <w:lang w:val="en-GB" w:eastAsia="en-GB" w:bidi="ar-JO"/>
        </w:rPr>
        <w:fldChar w:fldCharType="begin" w:fldLock="1"/>
      </w:r>
      <w:r>
        <w:rPr>
          <w:lang w:val="en-GB" w:eastAsia="en-GB" w:bidi="ar-JO"/>
        </w:rPr>
        <w:instrText xml:space="preserve">ADDIN Mendeley Bibliography CSL_BIBLIOGRAPHY </w:instrText>
      </w:r>
      <w:r>
        <w:rPr>
          <w:lang w:val="en-GB" w:eastAsia="en-GB" w:bidi="ar-JO"/>
        </w:rPr>
        <w:fldChar w:fldCharType="separate"/>
      </w:r>
      <w:r w:rsidRPr="00363D7E">
        <w:rPr>
          <w:rFonts w:ascii="Times New Roman" w:hAnsi="Times New Roman" w:cs="Times New Roman"/>
          <w:noProof/>
          <w:szCs w:val="24"/>
        </w:rPr>
        <w:t xml:space="preserve">Abdullah, M. A. (1999). The accessibility of the government-sponsored support programmes for small and medium-sized enterprises in Penang. </w:t>
      </w:r>
      <w:r w:rsidRPr="00363D7E">
        <w:rPr>
          <w:rFonts w:ascii="Times New Roman" w:hAnsi="Times New Roman" w:cs="Times New Roman"/>
          <w:i/>
          <w:iCs/>
          <w:noProof/>
          <w:szCs w:val="24"/>
        </w:rPr>
        <w:t>Cities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16</w:t>
      </w:r>
      <w:r w:rsidRPr="00363D7E">
        <w:rPr>
          <w:rFonts w:ascii="Times New Roman" w:hAnsi="Times New Roman" w:cs="Times New Roman"/>
          <w:noProof/>
          <w:szCs w:val="24"/>
        </w:rPr>
        <w:t>(2), 83–92.</w:t>
      </w:r>
    </w:p>
    <w:p w14:paraId="43FEFED7" w14:textId="77777777" w:rsidR="005C7FE5" w:rsidRPr="00363D7E" w:rsidRDefault="005C7FE5" w:rsidP="005C7FE5">
      <w:pPr>
        <w:widowControl w:val="0"/>
        <w:tabs>
          <w:tab w:val="left" w:pos="4770"/>
        </w:tabs>
        <w:autoSpaceDE w:val="0"/>
        <w:autoSpaceDN w:val="0"/>
        <w:adjustRightInd w:val="0"/>
        <w:spacing w:line="240" w:lineRule="auto"/>
        <w:ind w:left="480" w:hanging="480"/>
        <w:rPr>
          <w:rFonts w:ascii="Times New Roman" w:hAnsi="Times New Roman" w:cs="Times New Roman"/>
          <w:noProof/>
          <w:szCs w:val="24"/>
        </w:rPr>
      </w:pPr>
    </w:p>
    <w:p w14:paraId="2F610A93"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Abdullah, T. M. C., &amp; Hussin, Z. (2010). Moderating effect of government assistance and turnaround strategies "a research on private manufacturing companies. </w:t>
      </w:r>
      <w:r w:rsidRPr="00363D7E">
        <w:rPr>
          <w:rFonts w:ascii="Times New Roman" w:hAnsi="Times New Roman" w:cs="Times New Roman"/>
          <w:i/>
          <w:iCs/>
          <w:noProof/>
          <w:szCs w:val="24"/>
        </w:rPr>
        <w:t>Journal of Global Strategic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4</w:t>
      </w:r>
      <w:r w:rsidRPr="00363D7E">
        <w:rPr>
          <w:rFonts w:ascii="Times New Roman" w:hAnsi="Times New Roman" w:cs="Times New Roman"/>
          <w:noProof/>
          <w:szCs w:val="24"/>
        </w:rPr>
        <w:t>(1), 64–73.</w:t>
      </w:r>
    </w:p>
    <w:p w14:paraId="38DF7528"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lastRenderedPageBreak/>
        <w:t xml:space="preserve">Ackah, A. J. (2011). </w:t>
      </w:r>
      <w:r w:rsidRPr="00363D7E">
        <w:rPr>
          <w:rFonts w:ascii="Times New Roman" w:hAnsi="Times New Roman" w:cs="Times New Roman"/>
          <w:i/>
          <w:iCs/>
          <w:noProof/>
          <w:szCs w:val="24"/>
        </w:rPr>
        <w:t>The challenges faced by small &amp; medium enterprises ( SMEs ) in obtaining credit in Ghana .</w:t>
      </w:r>
      <w:r w:rsidRPr="00363D7E">
        <w:rPr>
          <w:rFonts w:ascii="Times New Roman" w:hAnsi="Times New Roman" w:cs="Times New Roman"/>
          <w:noProof/>
          <w:szCs w:val="24"/>
        </w:rPr>
        <w:t xml:space="preserve"> Blekinge Tekniska Hogskola.</w:t>
      </w:r>
    </w:p>
    <w:p w14:paraId="6F9E4B82"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Agyapong, D. (2010). Micro , small and medium enterprises ’ activities , income level and poverty reduction in Ghana –a synthesis of related literature. </w:t>
      </w:r>
      <w:r w:rsidRPr="00363D7E">
        <w:rPr>
          <w:rFonts w:ascii="Times New Roman" w:hAnsi="Times New Roman" w:cs="Times New Roman"/>
          <w:i/>
          <w:iCs/>
          <w:noProof/>
          <w:szCs w:val="24"/>
        </w:rPr>
        <w:t>International Journal of Business and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5</w:t>
      </w:r>
      <w:r w:rsidRPr="00363D7E">
        <w:rPr>
          <w:rFonts w:ascii="Times New Roman" w:hAnsi="Times New Roman" w:cs="Times New Roman"/>
          <w:noProof/>
          <w:szCs w:val="24"/>
        </w:rPr>
        <w:t>(12), 196–205.</w:t>
      </w:r>
    </w:p>
    <w:p w14:paraId="26C39B1C"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Ahmed, S. Z. (2012). Micro, small and medium-sized enterprises development in the Kingdom of Saudi Arabia Problems and constraints. </w:t>
      </w:r>
      <w:r w:rsidRPr="00363D7E">
        <w:rPr>
          <w:rFonts w:ascii="Times New Roman" w:hAnsi="Times New Roman" w:cs="Times New Roman"/>
          <w:i/>
          <w:iCs/>
          <w:noProof/>
          <w:szCs w:val="24"/>
        </w:rPr>
        <w:t>World Journal of Entrepreneurship, Management and Sustainable Development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8</w:t>
      </w:r>
      <w:r w:rsidRPr="00363D7E">
        <w:rPr>
          <w:rFonts w:ascii="Times New Roman" w:hAnsi="Times New Roman" w:cs="Times New Roman"/>
          <w:noProof/>
          <w:szCs w:val="24"/>
        </w:rPr>
        <w:t>(4), 217–232.</w:t>
      </w:r>
    </w:p>
    <w:p w14:paraId="392255C4"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Akyüz, K. C., Akyüz, İ., Serіn, H., &amp; Cindik, H. (2006). The financing preferences and capital structure of micro, small and medium sized firm owners in forest products industry in Turkey. </w:t>
      </w:r>
      <w:r w:rsidRPr="00363D7E">
        <w:rPr>
          <w:rFonts w:ascii="Times New Roman" w:hAnsi="Times New Roman" w:cs="Times New Roman"/>
          <w:i/>
          <w:iCs/>
          <w:noProof/>
          <w:szCs w:val="24"/>
        </w:rPr>
        <w:t>Forest Policy and Economics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8</w:t>
      </w:r>
      <w:r w:rsidRPr="00363D7E">
        <w:rPr>
          <w:rFonts w:ascii="Times New Roman" w:hAnsi="Times New Roman" w:cs="Times New Roman"/>
          <w:noProof/>
          <w:szCs w:val="24"/>
        </w:rPr>
        <w:t>(3), 301–311.</w:t>
      </w:r>
    </w:p>
    <w:p w14:paraId="75411CD0" w14:textId="19C2138D" w:rsidR="00362AFA" w:rsidRPr="00363D7E" w:rsidRDefault="00362AFA" w:rsidP="005C7FE5">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Alarape, A. A. (2013). Entrepreneurial orientation and the growth performance of small and medium enterprises in Southwestern Nigeria. </w:t>
      </w:r>
      <w:r w:rsidRPr="00363D7E">
        <w:rPr>
          <w:rFonts w:ascii="Times New Roman" w:hAnsi="Times New Roman" w:cs="Times New Roman"/>
          <w:i/>
          <w:iCs/>
          <w:noProof/>
          <w:szCs w:val="24"/>
        </w:rPr>
        <w:t>Journal of Small Business &amp; Entrepreneurship</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26</w:t>
      </w:r>
      <w:r w:rsidRPr="00363D7E">
        <w:rPr>
          <w:rFonts w:ascii="Times New Roman" w:hAnsi="Times New Roman" w:cs="Times New Roman"/>
          <w:noProof/>
          <w:szCs w:val="24"/>
        </w:rPr>
        <w:t xml:space="preserve">, 553–577. </w:t>
      </w:r>
    </w:p>
    <w:p w14:paraId="5DFB44E2"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Al-Hyari, K. (2013). Identification of barrier factors and potential solutions to SMEs development among Jordanian manufacturing sector. </w:t>
      </w:r>
      <w:r w:rsidRPr="00363D7E">
        <w:rPr>
          <w:rFonts w:ascii="Times New Roman" w:hAnsi="Times New Roman" w:cs="Times New Roman"/>
          <w:i/>
          <w:iCs/>
          <w:noProof/>
          <w:szCs w:val="24"/>
        </w:rPr>
        <w:t>International Journal of Business and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8</w:t>
      </w:r>
      <w:r w:rsidRPr="00363D7E">
        <w:rPr>
          <w:rFonts w:ascii="Times New Roman" w:hAnsi="Times New Roman" w:cs="Times New Roman"/>
          <w:noProof/>
          <w:szCs w:val="24"/>
        </w:rPr>
        <w:t>(24), 132–141.</w:t>
      </w:r>
    </w:p>
    <w:p w14:paraId="0B8E6C8B"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Aljubouri, A. H. . O. (2005). </w:t>
      </w:r>
      <w:r w:rsidRPr="00363D7E">
        <w:rPr>
          <w:rFonts w:ascii="Times New Roman" w:hAnsi="Times New Roman" w:cs="Times New Roman"/>
          <w:i/>
          <w:iCs/>
          <w:noProof/>
          <w:szCs w:val="24"/>
        </w:rPr>
        <w:t>The impact of competitive strategies in consolidation strategic performance</w:t>
      </w:r>
      <w:r w:rsidRPr="00363D7E">
        <w:rPr>
          <w:rFonts w:ascii="Times New Roman" w:hAnsi="Times New Roman" w:cs="Times New Roman"/>
          <w:noProof/>
          <w:szCs w:val="24"/>
        </w:rPr>
        <w:t>. University of Mousl.</w:t>
      </w:r>
    </w:p>
    <w:p w14:paraId="71E6CD2F"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Alvarez, S. A., &amp; Busenitz, L. W. (2001). The entrepreneurship of resource-based theory. </w:t>
      </w:r>
      <w:r w:rsidRPr="00363D7E">
        <w:rPr>
          <w:rFonts w:ascii="Times New Roman" w:hAnsi="Times New Roman" w:cs="Times New Roman"/>
          <w:i/>
          <w:iCs/>
          <w:noProof/>
          <w:szCs w:val="24"/>
        </w:rPr>
        <w:t>Journal of Management</w:t>
      </w:r>
      <w:r w:rsidRPr="00363D7E">
        <w:rPr>
          <w:rFonts w:ascii="Times New Roman" w:hAnsi="Times New Roman" w:cs="Times New Roman"/>
          <w:noProof/>
          <w:szCs w:val="24"/>
        </w:rPr>
        <w:t>.</w:t>
      </w:r>
    </w:p>
    <w:p w14:paraId="3E5A893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Aykan, E., Aksoylu, S., &amp; Sönmez, E. (2013). Effects of Support Programs on Corporate Strategies of Small and Medium-sized Enterprises. </w:t>
      </w:r>
      <w:r w:rsidRPr="00363D7E">
        <w:rPr>
          <w:rFonts w:ascii="Times New Roman" w:hAnsi="Times New Roman" w:cs="Times New Roman"/>
          <w:i/>
          <w:iCs/>
          <w:noProof/>
          <w:szCs w:val="24"/>
        </w:rPr>
        <w:t>Procedia - Social and Behavioral Sciences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99</w:t>
      </w:r>
      <w:r w:rsidRPr="00363D7E">
        <w:rPr>
          <w:rFonts w:ascii="Times New Roman" w:hAnsi="Times New Roman" w:cs="Times New Roman"/>
          <w:noProof/>
          <w:szCs w:val="24"/>
        </w:rPr>
        <w:t>, 938–946.</w:t>
      </w:r>
    </w:p>
    <w:p w14:paraId="324F2101"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Bateman,  thomas S., &amp; Snell, S. A. (2004). </w:t>
      </w:r>
      <w:r w:rsidRPr="00363D7E">
        <w:rPr>
          <w:rFonts w:ascii="Times New Roman" w:hAnsi="Times New Roman" w:cs="Times New Roman"/>
          <w:i/>
          <w:iCs/>
          <w:noProof/>
          <w:szCs w:val="24"/>
        </w:rPr>
        <w:t>Management : the new competitive landscope</w:t>
      </w:r>
      <w:r w:rsidRPr="00363D7E">
        <w:rPr>
          <w:rFonts w:ascii="Times New Roman" w:hAnsi="Times New Roman" w:cs="Times New Roman"/>
          <w:noProof/>
          <w:szCs w:val="24"/>
        </w:rPr>
        <w:t xml:space="preserve"> (6th ed). New York: McGraw Hill.</w:t>
      </w:r>
    </w:p>
    <w:p w14:paraId="20B20047"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Beyene, A. (2002). Enhancing the Competitiveness and Productivity of Small and Medium Scale Enterprises ( SMEs ) in Africa : An Analysis of Differential Roles of National Governments Through Improved Support Services. </w:t>
      </w:r>
      <w:r w:rsidRPr="00363D7E">
        <w:rPr>
          <w:rFonts w:ascii="Times New Roman" w:hAnsi="Times New Roman" w:cs="Times New Roman"/>
          <w:i/>
          <w:iCs/>
          <w:noProof/>
          <w:szCs w:val="24"/>
        </w:rPr>
        <w:t>Journal of Global Strategic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27</w:t>
      </w:r>
      <w:r w:rsidRPr="00363D7E">
        <w:rPr>
          <w:rFonts w:ascii="Times New Roman" w:hAnsi="Times New Roman" w:cs="Times New Roman"/>
          <w:noProof/>
          <w:szCs w:val="24"/>
        </w:rPr>
        <w:t>(3), 130–156.</w:t>
      </w:r>
    </w:p>
    <w:p w14:paraId="67C16042"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Burke, R. J., &amp; El-Kot, G. (2014). Human Resource Management Practices in Small- and Medium-Sized Enterprises in Egypt. </w:t>
      </w:r>
      <w:r w:rsidRPr="00363D7E">
        <w:rPr>
          <w:rFonts w:ascii="Times New Roman" w:hAnsi="Times New Roman" w:cs="Times New Roman"/>
          <w:i/>
          <w:iCs/>
          <w:noProof/>
          <w:szCs w:val="24"/>
        </w:rPr>
        <w:t>Journal of Transnational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19</w:t>
      </w:r>
      <w:r w:rsidRPr="00363D7E">
        <w:rPr>
          <w:rFonts w:ascii="Times New Roman" w:hAnsi="Times New Roman" w:cs="Times New Roman"/>
          <w:noProof/>
          <w:szCs w:val="24"/>
        </w:rPr>
        <w:t>(3), 211–226.</w:t>
      </w:r>
    </w:p>
    <w:p w14:paraId="0096B43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Chidoko, C., Makuyana, G., Matungamire, P., &amp; Bemani, J. (2011). IMPACT OF THE INFORMAL SECTOR ON THE CURRENT Zimbabwean economic environment. </w:t>
      </w:r>
      <w:r w:rsidRPr="00363D7E">
        <w:rPr>
          <w:rFonts w:ascii="Times New Roman" w:hAnsi="Times New Roman" w:cs="Times New Roman"/>
          <w:i/>
          <w:iCs/>
          <w:noProof/>
          <w:szCs w:val="24"/>
        </w:rPr>
        <w:t>International Journal of Economics and Research</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w:t>
      </w:r>
      <w:r w:rsidRPr="00363D7E">
        <w:rPr>
          <w:rFonts w:ascii="Times New Roman" w:hAnsi="Times New Roman" w:cs="Times New Roman"/>
          <w:noProof/>
          <w:szCs w:val="24"/>
        </w:rPr>
        <w:t>(6), 26–28.</w:t>
      </w:r>
    </w:p>
    <w:p w14:paraId="308CA5E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Chin, W. W. (2010). </w:t>
      </w:r>
      <w:r w:rsidRPr="00363D7E">
        <w:rPr>
          <w:rFonts w:ascii="Times New Roman" w:hAnsi="Times New Roman" w:cs="Times New Roman"/>
          <w:i/>
          <w:iCs/>
          <w:noProof/>
          <w:szCs w:val="24"/>
        </w:rPr>
        <w:t>Handbook of Partial Least Squares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Springer</w:t>
      </w:r>
      <w:r w:rsidRPr="00363D7E">
        <w:rPr>
          <w:rFonts w:ascii="Times New Roman" w:hAnsi="Times New Roman" w:cs="Times New Roman"/>
          <w:noProof/>
          <w:szCs w:val="24"/>
        </w:rPr>
        <w:t>.</w:t>
      </w:r>
    </w:p>
    <w:p w14:paraId="1EC6704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Chin, W. W., Marcolin, B. L., &amp; Newsted, P. R. (2003). A Partial Least Squares Latent Variable Modeling Approach for Measuring Interaction Effects : Results from A Partial Least Squares Latent Variable Modeling Approach for Measuring Interaction Effects : Results from a Monte Carlo Simulation Study and an Ele, (May 2014).</w:t>
      </w:r>
    </w:p>
    <w:p w14:paraId="3DCE50D0"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Covin, J. G., &amp; Slevin, D. (1991). A conceptual model of entrepreneurship as firm behavior. </w:t>
      </w:r>
      <w:r w:rsidRPr="00363D7E">
        <w:rPr>
          <w:rFonts w:ascii="Times New Roman" w:hAnsi="Times New Roman" w:cs="Times New Roman"/>
          <w:i/>
          <w:iCs/>
          <w:noProof/>
          <w:szCs w:val="24"/>
        </w:rPr>
        <w:t>Entrepreneurship Theory and Practice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16</w:t>
      </w:r>
      <w:r w:rsidRPr="00363D7E">
        <w:rPr>
          <w:rFonts w:ascii="Times New Roman" w:hAnsi="Times New Roman" w:cs="Times New Roman"/>
          <w:noProof/>
          <w:szCs w:val="24"/>
        </w:rPr>
        <w:t>(1), 7–25.</w:t>
      </w:r>
    </w:p>
    <w:p w14:paraId="2EFF04C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Covin, J. G., &amp; Slevin, D. P. (1989). Strategic Management of Small Firms in Hostile and Benign Environments. </w:t>
      </w:r>
      <w:r w:rsidRPr="00363D7E">
        <w:rPr>
          <w:rFonts w:ascii="Times New Roman" w:hAnsi="Times New Roman" w:cs="Times New Roman"/>
          <w:i/>
          <w:iCs/>
          <w:noProof/>
          <w:szCs w:val="24"/>
        </w:rPr>
        <w:t>Strategic Management Journal</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10</w:t>
      </w:r>
      <w:r w:rsidRPr="00363D7E">
        <w:rPr>
          <w:rFonts w:ascii="Times New Roman" w:hAnsi="Times New Roman" w:cs="Times New Roman"/>
          <w:noProof/>
          <w:szCs w:val="24"/>
        </w:rPr>
        <w:t>(March 1987), 75–87.</w:t>
      </w:r>
    </w:p>
    <w:p w14:paraId="08682EB4"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Covin, J., &amp; Slevin, D. (1988). The influence of organization structure on the utility of an entrepreneurial top management style. </w:t>
      </w:r>
      <w:r w:rsidRPr="00363D7E">
        <w:rPr>
          <w:rFonts w:ascii="Times New Roman" w:hAnsi="Times New Roman" w:cs="Times New Roman"/>
          <w:i/>
          <w:iCs/>
          <w:noProof/>
          <w:szCs w:val="24"/>
        </w:rPr>
        <w:t>Journal of Management Studies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25</w:t>
      </w:r>
      <w:r w:rsidRPr="00363D7E">
        <w:rPr>
          <w:rFonts w:ascii="Times New Roman" w:hAnsi="Times New Roman" w:cs="Times New Roman"/>
          <w:noProof/>
          <w:szCs w:val="24"/>
        </w:rPr>
        <w:t>(May), 217–234.</w:t>
      </w:r>
    </w:p>
    <w:p w14:paraId="1FD45708"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lastRenderedPageBreak/>
        <w:t xml:space="preserve">Djankov, S. (2009). The regulation of entry: A survey. </w:t>
      </w:r>
      <w:r w:rsidRPr="00363D7E">
        <w:rPr>
          <w:rFonts w:ascii="Times New Roman" w:hAnsi="Times New Roman" w:cs="Times New Roman"/>
          <w:i/>
          <w:iCs/>
          <w:noProof/>
          <w:szCs w:val="24"/>
        </w:rPr>
        <w:t>The World Bank Research Observer</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24</w:t>
      </w:r>
      <w:r w:rsidRPr="00363D7E">
        <w:rPr>
          <w:rFonts w:ascii="Times New Roman" w:hAnsi="Times New Roman" w:cs="Times New Roman"/>
          <w:noProof/>
          <w:szCs w:val="24"/>
        </w:rPr>
        <w:t>(2), 183–203.</w:t>
      </w:r>
    </w:p>
    <w:p w14:paraId="301B84C1" w14:textId="4574C6CA" w:rsidR="00362AFA" w:rsidRPr="00363D7E" w:rsidRDefault="00362AFA" w:rsidP="005C7FE5">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ECA. (2001). </w:t>
      </w:r>
      <w:r w:rsidRPr="00363D7E">
        <w:rPr>
          <w:rFonts w:ascii="Times New Roman" w:hAnsi="Times New Roman" w:cs="Times New Roman"/>
          <w:i/>
          <w:iCs/>
          <w:noProof/>
          <w:szCs w:val="24"/>
        </w:rPr>
        <w:t>Enhancing the Competitiveness of Small and Medium Enterprises in Africa : A Strategic Framework for Support Services</w:t>
      </w:r>
      <w:r w:rsidRPr="00363D7E">
        <w:rPr>
          <w:rFonts w:ascii="Times New Roman" w:hAnsi="Times New Roman" w:cs="Times New Roman"/>
          <w:noProof/>
          <w:szCs w:val="24"/>
        </w:rPr>
        <w:t xml:space="preserve">. </w:t>
      </w:r>
    </w:p>
    <w:p w14:paraId="2AC0B875"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Fornell, C., &amp; Larcker, D. F. (1981). Evaluating Structural Equation Models with Unobservable Variables and Measurement Error. </w:t>
      </w:r>
      <w:r w:rsidRPr="00363D7E">
        <w:rPr>
          <w:rFonts w:ascii="Times New Roman" w:hAnsi="Times New Roman" w:cs="Times New Roman"/>
          <w:i/>
          <w:iCs/>
          <w:noProof/>
          <w:szCs w:val="24"/>
        </w:rPr>
        <w:t>Journal of Marketing Research</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18</w:t>
      </w:r>
      <w:r w:rsidRPr="00363D7E">
        <w:rPr>
          <w:rFonts w:ascii="Times New Roman" w:hAnsi="Times New Roman" w:cs="Times New Roman"/>
          <w:noProof/>
          <w:szCs w:val="24"/>
        </w:rPr>
        <w:t>(1), 39–50.</w:t>
      </w:r>
    </w:p>
    <w:p w14:paraId="3E7119E6"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Frese, M., Brantjes,  a., &amp; Hoorn, R. (2002). Psychological Success Factors of Small Scale Businesses in Namibia: The Roles of Strategy Process, Entrepreneurial Orientation and the Environment. </w:t>
      </w:r>
      <w:r w:rsidRPr="00363D7E">
        <w:rPr>
          <w:rFonts w:ascii="Times New Roman" w:hAnsi="Times New Roman" w:cs="Times New Roman"/>
          <w:i/>
          <w:iCs/>
          <w:noProof/>
          <w:szCs w:val="24"/>
        </w:rPr>
        <w:t>Journal Of Developmental Entrepreneurship</w:t>
      </w:r>
      <w:r w:rsidRPr="00363D7E">
        <w:rPr>
          <w:rFonts w:ascii="Times New Roman" w:hAnsi="Times New Roman" w:cs="Times New Roman"/>
          <w:noProof/>
          <w:szCs w:val="24"/>
        </w:rPr>
        <w:t>.</w:t>
      </w:r>
    </w:p>
    <w:p w14:paraId="13FB6BA4"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Gefen, D., Straub, D. W., &amp; Boudreau, M.-C. (2000). Structural Equation Modeling and Regression : Guidelines for Research Practice. </w:t>
      </w:r>
      <w:r w:rsidRPr="00363D7E">
        <w:rPr>
          <w:rFonts w:ascii="Times New Roman" w:hAnsi="Times New Roman" w:cs="Times New Roman"/>
          <w:i/>
          <w:iCs/>
          <w:noProof/>
          <w:szCs w:val="24"/>
        </w:rPr>
        <w:t>Communications of the Association for Information Systems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4</w:t>
      </w:r>
      <w:r w:rsidRPr="00363D7E">
        <w:rPr>
          <w:rFonts w:ascii="Times New Roman" w:hAnsi="Times New Roman" w:cs="Times New Roman"/>
          <w:noProof/>
          <w:szCs w:val="24"/>
        </w:rPr>
        <w:t>(7). http://doi.org/10.1.1.25.781</w:t>
      </w:r>
    </w:p>
    <w:p w14:paraId="2F5D3950"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Geisser, S. (1975). The predictive sample reuse method with applications. </w:t>
      </w:r>
      <w:r w:rsidRPr="00363D7E">
        <w:rPr>
          <w:rFonts w:ascii="Times New Roman" w:hAnsi="Times New Roman" w:cs="Times New Roman"/>
          <w:i/>
          <w:iCs/>
          <w:noProof/>
          <w:szCs w:val="24"/>
        </w:rPr>
        <w:t>Journal of the American Statistical Association</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70</w:t>
      </w:r>
      <w:r w:rsidRPr="00363D7E">
        <w:rPr>
          <w:rFonts w:ascii="Times New Roman" w:hAnsi="Times New Roman" w:cs="Times New Roman"/>
          <w:noProof/>
          <w:szCs w:val="24"/>
        </w:rPr>
        <w:t>(350), 320–328.</w:t>
      </w:r>
    </w:p>
    <w:p w14:paraId="266C7786"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Gisip, I., &amp; Harun, H. (2013). An Assessment of Government Support Programs in the Development of SMEs in Malaysia: Issues and Challenges. </w:t>
      </w:r>
      <w:r w:rsidRPr="00363D7E">
        <w:rPr>
          <w:rFonts w:ascii="Times New Roman" w:hAnsi="Times New Roman" w:cs="Times New Roman"/>
          <w:i/>
          <w:iCs/>
          <w:noProof/>
          <w:szCs w:val="24"/>
        </w:rPr>
        <w:t>Scottish Journal of Arts, Social Sciences and Scientific Studies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8</w:t>
      </w:r>
      <w:r w:rsidRPr="00363D7E">
        <w:rPr>
          <w:rFonts w:ascii="Times New Roman" w:hAnsi="Times New Roman" w:cs="Times New Roman"/>
          <w:noProof/>
          <w:szCs w:val="24"/>
        </w:rPr>
        <w:t>(2), 9–18.</w:t>
      </w:r>
    </w:p>
    <w:p w14:paraId="2A3211C5"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Gitau, G., Mukulu, E., &amp; Kihoro, J. (2016). Influence of Entrepreneurial Orientation on Competitive Advantage among Mobile Service Providers in Kenya, </w:t>
      </w:r>
      <w:r w:rsidRPr="00363D7E">
        <w:rPr>
          <w:rFonts w:ascii="Times New Roman" w:hAnsi="Times New Roman" w:cs="Times New Roman"/>
          <w:i/>
          <w:iCs/>
          <w:noProof/>
          <w:szCs w:val="24"/>
        </w:rPr>
        <w:t>3</w:t>
      </w:r>
      <w:r w:rsidRPr="00363D7E">
        <w:rPr>
          <w:rFonts w:ascii="Times New Roman" w:hAnsi="Times New Roman" w:cs="Times New Roman"/>
          <w:noProof/>
          <w:szCs w:val="24"/>
        </w:rPr>
        <w:t>(2), 2010–2016.</w:t>
      </w:r>
    </w:p>
    <w:p w14:paraId="5DE06DFC"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Gongera, E., Okoth, O. N., &amp; Njuki, H. M. (2013). The Role of the Government in the Performance of Small Scale Enterprises in Dar es Salaam. </w:t>
      </w:r>
      <w:r w:rsidRPr="00363D7E">
        <w:rPr>
          <w:rFonts w:ascii="Times New Roman" w:hAnsi="Times New Roman" w:cs="Times New Roman"/>
          <w:i/>
          <w:iCs/>
          <w:noProof/>
          <w:szCs w:val="24"/>
        </w:rPr>
        <w:t>European Journal of Business and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5</w:t>
      </w:r>
      <w:r w:rsidRPr="00363D7E">
        <w:rPr>
          <w:rFonts w:ascii="Times New Roman" w:hAnsi="Times New Roman" w:cs="Times New Roman"/>
          <w:noProof/>
          <w:szCs w:val="24"/>
        </w:rPr>
        <w:t>(17), 120–126.</w:t>
      </w:r>
    </w:p>
    <w:p w14:paraId="05E837F7"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Gürbüz, G., &amp; Aykol, S. (2009). Entrepreneurial management, entrepreneurial orientation and Turkish small firm growth. </w:t>
      </w:r>
      <w:r w:rsidRPr="00363D7E">
        <w:rPr>
          <w:rFonts w:ascii="Times New Roman" w:hAnsi="Times New Roman" w:cs="Times New Roman"/>
          <w:i/>
          <w:iCs/>
          <w:noProof/>
          <w:szCs w:val="24"/>
        </w:rPr>
        <w:t>Management Research News</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32</w:t>
      </w:r>
      <w:r w:rsidRPr="00363D7E">
        <w:rPr>
          <w:rFonts w:ascii="Times New Roman" w:hAnsi="Times New Roman" w:cs="Times New Roman"/>
          <w:noProof/>
          <w:szCs w:val="24"/>
        </w:rPr>
        <w:t>(4), 321–336.</w:t>
      </w:r>
    </w:p>
    <w:p w14:paraId="38B7A2EC"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Hair, J. F., Black, W. C., Babin, B. J., &amp; Anderson, R. E. (2010). </w:t>
      </w:r>
      <w:r w:rsidRPr="00363D7E">
        <w:rPr>
          <w:rFonts w:ascii="Times New Roman" w:hAnsi="Times New Roman" w:cs="Times New Roman"/>
          <w:i/>
          <w:iCs/>
          <w:noProof/>
          <w:szCs w:val="24"/>
        </w:rPr>
        <w:t>multivariate Data analysis</w:t>
      </w:r>
      <w:r w:rsidRPr="00363D7E">
        <w:rPr>
          <w:rFonts w:ascii="Times New Roman" w:hAnsi="Times New Roman" w:cs="Times New Roman"/>
          <w:noProof/>
          <w:szCs w:val="24"/>
        </w:rPr>
        <w:t xml:space="preserve"> (7th ed). New York: Prentice prentice Hall.</w:t>
      </w:r>
    </w:p>
    <w:p w14:paraId="77F2074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Haron, D. H., Ismail, D. I., Khalid, S. N. A., &amp; Ganesan, Y. (2010). Cases of successful Malaysian small and medium enterprises (SMEs): Does business advisory services help? </w:t>
      </w:r>
      <w:r w:rsidRPr="00363D7E">
        <w:rPr>
          <w:rFonts w:ascii="Times New Roman" w:hAnsi="Times New Roman" w:cs="Times New Roman"/>
          <w:i/>
          <w:iCs/>
          <w:noProof/>
          <w:szCs w:val="24"/>
        </w:rPr>
        <w:t>Malaysia Accountancy Research and Education (MAREF).</w:t>
      </w:r>
    </w:p>
    <w:p w14:paraId="1B0F37CB"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Hughes, M., &amp; Morgan, R. E. (2007). Deconstructing the relationship between entrepreneurial orientation and business performance at the embryonic stage of firm growth. </w:t>
      </w:r>
      <w:r w:rsidRPr="00363D7E">
        <w:rPr>
          <w:rFonts w:ascii="Times New Roman" w:hAnsi="Times New Roman" w:cs="Times New Roman"/>
          <w:i/>
          <w:iCs/>
          <w:noProof/>
          <w:szCs w:val="24"/>
        </w:rPr>
        <w:t>Industrial Marketing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36</w:t>
      </w:r>
      <w:r w:rsidRPr="00363D7E">
        <w:rPr>
          <w:rFonts w:ascii="Times New Roman" w:hAnsi="Times New Roman" w:cs="Times New Roman"/>
          <w:noProof/>
          <w:szCs w:val="24"/>
        </w:rPr>
        <w:t>(5), 651–661.</w:t>
      </w:r>
    </w:p>
    <w:p w14:paraId="31DC355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Kline, R. B. (2011). </w:t>
      </w:r>
      <w:r w:rsidRPr="00363D7E">
        <w:rPr>
          <w:rFonts w:ascii="Times New Roman" w:hAnsi="Times New Roman" w:cs="Times New Roman"/>
          <w:i/>
          <w:iCs/>
          <w:noProof/>
          <w:szCs w:val="24"/>
        </w:rPr>
        <w:t>Principles and practice of structural equation modeling</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Structural Equation Modeling</w:t>
      </w:r>
      <w:r w:rsidRPr="00363D7E">
        <w:rPr>
          <w:rFonts w:ascii="Times New Roman" w:hAnsi="Times New Roman" w:cs="Times New Roman"/>
          <w:noProof/>
          <w:szCs w:val="24"/>
        </w:rPr>
        <w:t xml:space="preserve"> (erd ed, Vol. 156). New York: Guilford Press.</w:t>
      </w:r>
    </w:p>
    <w:p w14:paraId="67F75F90"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Knight, G. A. (1997). Cross-cultural Reliability and Validity of a Scale to Measure Firm Entrepreneurial Orientation. </w:t>
      </w:r>
      <w:r w:rsidRPr="00363D7E">
        <w:rPr>
          <w:rFonts w:ascii="Times New Roman" w:hAnsi="Times New Roman" w:cs="Times New Roman"/>
          <w:i/>
          <w:iCs/>
          <w:noProof/>
          <w:szCs w:val="24"/>
        </w:rPr>
        <w:t>Journal of Business Venturing</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12</w:t>
      </w:r>
      <w:r w:rsidRPr="00363D7E">
        <w:rPr>
          <w:rFonts w:ascii="Times New Roman" w:hAnsi="Times New Roman" w:cs="Times New Roman"/>
          <w:noProof/>
          <w:szCs w:val="24"/>
        </w:rPr>
        <w:t>(3), 213–225.</w:t>
      </w:r>
    </w:p>
    <w:p w14:paraId="1819F50D"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Kreiser, P. M., Marino, L. D., &amp; Weaver, K. M. (2002). Assessing the Psychometric Properties of the Entrepreneurial Orientation Scale: A Multi-Country Analysis. </w:t>
      </w:r>
      <w:r w:rsidRPr="00363D7E">
        <w:rPr>
          <w:rFonts w:ascii="Times New Roman" w:hAnsi="Times New Roman" w:cs="Times New Roman"/>
          <w:i/>
          <w:iCs/>
          <w:noProof/>
          <w:szCs w:val="24"/>
        </w:rPr>
        <w:t>Entrepreneurship: Theory &amp; Practice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26</w:t>
      </w:r>
      <w:r w:rsidRPr="00363D7E">
        <w:rPr>
          <w:rFonts w:ascii="Times New Roman" w:hAnsi="Times New Roman" w:cs="Times New Roman"/>
          <w:noProof/>
          <w:szCs w:val="24"/>
        </w:rPr>
        <w:t>(4), 71.</w:t>
      </w:r>
    </w:p>
    <w:p w14:paraId="36DAB01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Kuratko, D. F., Ireland, R. D., &amp; Hornsby, J. S. (2001). Improving firm performance through entrepreneurial actions: Acordia’s corporate entrepreneurship strategy. </w:t>
      </w:r>
      <w:r w:rsidRPr="00363D7E">
        <w:rPr>
          <w:rFonts w:ascii="Times New Roman" w:hAnsi="Times New Roman" w:cs="Times New Roman"/>
          <w:i/>
          <w:iCs/>
          <w:noProof/>
          <w:szCs w:val="24"/>
        </w:rPr>
        <w:t>Academy of Management Executive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15</w:t>
      </w:r>
      <w:r w:rsidRPr="00363D7E">
        <w:rPr>
          <w:rFonts w:ascii="Times New Roman" w:hAnsi="Times New Roman" w:cs="Times New Roman"/>
          <w:noProof/>
          <w:szCs w:val="24"/>
        </w:rPr>
        <w:t>(4), 60–71.</w:t>
      </w:r>
    </w:p>
    <w:p w14:paraId="7EA331C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Lechner, C., &amp; Gudmundsson, S. V. (2014). Entrepreneurial orientation, firm strategy and small firm </w:t>
      </w:r>
      <w:r w:rsidRPr="00363D7E">
        <w:rPr>
          <w:rFonts w:ascii="Times New Roman" w:hAnsi="Times New Roman" w:cs="Times New Roman"/>
          <w:noProof/>
          <w:szCs w:val="24"/>
        </w:rPr>
        <w:lastRenderedPageBreak/>
        <w:t xml:space="preserve">performance. </w:t>
      </w:r>
      <w:r w:rsidRPr="00363D7E">
        <w:rPr>
          <w:rFonts w:ascii="Times New Roman" w:hAnsi="Times New Roman" w:cs="Times New Roman"/>
          <w:i/>
          <w:iCs/>
          <w:noProof/>
          <w:szCs w:val="24"/>
        </w:rPr>
        <w:t>International Small Business Journal</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32</w:t>
      </w:r>
      <w:r w:rsidRPr="00363D7E">
        <w:rPr>
          <w:rFonts w:ascii="Times New Roman" w:hAnsi="Times New Roman" w:cs="Times New Roman"/>
          <w:noProof/>
          <w:szCs w:val="24"/>
        </w:rPr>
        <w:t>(1), 36–60.</w:t>
      </w:r>
    </w:p>
    <w:p w14:paraId="55BAB3E8"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Li, J. J., &amp; Zhou, K. Z. (2010). How foreign firms achieve competitive advantage in the Chinese emerging economy: Managerial ties and market orientation. </w:t>
      </w:r>
      <w:r w:rsidRPr="00363D7E">
        <w:rPr>
          <w:rFonts w:ascii="Times New Roman" w:hAnsi="Times New Roman" w:cs="Times New Roman"/>
          <w:i/>
          <w:iCs/>
          <w:noProof/>
          <w:szCs w:val="24"/>
        </w:rPr>
        <w:t>Journal of Business Research</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63</w:t>
      </w:r>
      <w:r w:rsidRPr="00363D7E">
        <w:rPr>
          <w:rFonts w:ascii="Times New Roman" w:hAnsi="Times New Roman" w:cs="Times New Roman"/>
          <w:noProof/>
          <w:szCs w:val="24"/>
        </w:rPr>
        <w:t>(8), 856–862.</w:t>
      </w:r>
    </w:p>
    <w:p w14:paraId="76949FB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Li, Y.-H., Huang, J.-W., &amp; Tsai, M.-T. (2009). Entrepreneurial orientation and firm performance: The role of knowledge creation process. </w:t>
      </w:r>
      <w:r w:rsidRPr="00363D7E">
        <w:rPr>
          <w:rFonts w:ascii="Times New Roman" w:hAnsi="Times New Roman" w:cs="Times New Roman"/>
          <w:i/>
          <w:iCs/>
          <w:noProof/>
          <w:szCs w:val="24"/>
        </w:rPr>
        <w:t>Industrial Marketing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38</w:t>
      </w:r>
      <w:r w:rsidRPr="00363D7E">
        <w:rPr>
          <w:rFonts w:ascii="Times New Roman" w:hAnsi="Times New Roman" w:cs="Times New Roman"/>
          <w:noProof/>
          <w:szCs w:val="24"/>
        </w:rPr>
        <w:t>(4), 440–449.</w:t>
      </w:r>
    </w:p>
    <w:p w14:paraId="3EC0713F" w14:textId="2BFB008F" w:rsidR="00362AFA" w:rsidRPr="00363D7E" w:rsidRDefault="00362AFA" w:rsidP="005C7FE5">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Lumpkin, G. T., Cogliser, C. C., &amp; Schneider, D. R. (2009). Understanding and Measuring Autonomy: An Entrepreneurial Orientation Perspective. </w:t>
      </w:r>
      <w:r w:rsidRPr="00363D7E">
        <w:rPr>
          <w:rFonts w:ascii="Times New Roman" w:hAnsi="Times New Roman" w:cs="Times New Roman"/>
          <w:i/>
          <w:iCs/>
          <w:noProof/>
          <w:szCs w:val="24"/>
        </w:rPr>
        <w:t>Seizure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14</w:t>
      </w:r>
      <w:r w:rsidRPr="00363D7E">
        <w:rPr>
          <w:rFonts w:ascii="Times New Roman" w:hAnsi="Times New Roman" w:cs="Times New Roman"/>
          <w:noProof/>
          <w:szCs w:val="24"/>
        </w:rPr>
        <w:t xml:space="preserve">(806), 47–70. </w:t>
      </w:r>
    </w:p>
    <w:p w14:paraId="77C54D3C"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Lumpkin, G. T., &amp; Dess, G. G. (1996). Clarifying the entrepreneurial orientation construct and linking it to performance. </w:t>
      </w:r>
      <w:r w:rsidRPr="00363D7E">
        <w:rPr>
          <w:rFonts w:ascii="Times New Roman" w:hAnsi="Times New Roman" w:cs="Times New Roman"/>
          <w:i/>
          <w:iCs/>
          <w:noProof/>
          <w:szCs w:val="24"/>
        </w:rPr>
        <w:t>Academy of Management Review</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21</w:t>
      </w:r>
      <w:r w:rsidRPr="00363D7E">
        <w:rPr>
          <w:rFonts w:ascii="Times New Roman" w:hAnsi="Times New Roman" w:cs="Times New Roman"/>
          <w:noProof/>
          <w:szCs w:val="24"/>
        </w:rPr>
        <w:t>, 135–172.</w:t>
      </w:r>
    </w:p>
    <w:p w14:paraId="6730DE5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Lyon, D. W., Lumpkin, G. T., &amp; Dess, G. D. (2000). Enhancing entrepreneurial orientation research: Operationalizing and measuring a key strategic decision making process. </w:t>
      </w:r>
      <w:r w:rsidRPr="00363D7E">
        <w:rPr>
          <w:rFonts w:ascii="Times New Roman" w:hAnsi="Times New Roman" w:cs="Times New Roman"/>
          <w:i/>
          <w:iCs/>
          <w:noProof/>
          <w:szCs w:val="24"/>
        </w:rPr>
        <w:t>Journal of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26</w:t>
      </w:r>
      <w:r w:rsidRPr="00363D7E">
        <w:rPr>
          <w:rFonts w:ascii="Times New Roman" w:hAnsi="Times New Roman" w:cs="Times New Roman"/>
          <w:noProof/>
          <w:szCs w:val="24"/>
        </w:rPr>
        <w:t>(5), 1055–1085.</w:t>
      </w:r>
    </w:p>
    <w:p w14:paraId="58CED75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Manimala, M. J., &amp; Kumar, S. (2012). Training Needs of Small and Medium Enterprises: Findings from an Empirical Investigation. </w:t>
      </w:r>
      <w:r w:rsidRPr="00363D7E">
        <w:rPr>
          <w:rFonts w:ascii="Times New Roman" w:hAnsi="Times New Roman" w:cs="Times New Roman"/>
          <w:i/>
          <w:iCs/>
          <w:noProof/>
          <w:szCs w:val="24"/>
        </w:rPr>
        <w:t>IIM Kozhikode Society &amp; Management Review</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1</w:t>
      </w:r>
      <w:r w:rsidRPr="00363D7E">
        <w:rPr>
          <w:rFonts w:ascii="Times New Roman" w:hAnsi="Times New Roman" w:cs="Times New Roman"/>
          <w:noProof/>
          <w:szCs w:val="24"/>
        </w:rPr>
        <w:t>(2), 97–110.</w:t>
      </w:r>
    </w:p>
    <w:p w14:paraId="12292597"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Meng, M. S. I. Bs. (2005). </w:t>
      </w:r>
      <w:r w:rsidRPr="00363D7E">
        <w:rPr>
          <w:rFonts w:ascii="Times New Roman" w:hAnsi="Times New Roman" w:cs="Times New Roman"/>
          <w:i/>
          <w:iCs/>
          <w:noProof/>
          <w:szCs w:val="24"/>
        </w:rPr>
        <w:t>A critical study on the strategy for capital machinery manufacturing SMEs in Bangladesh</w:t>
      </w:r>
      <w:r w:rsidRPr="00363D7E">
        <w:rPr>
          <w:rFonts w:ascii="Times New Roman" w:hAnsi="Times New Roman" w:cs="Times New Roman"/>
          <w:noProof/>
          <w:szCs w:val="24"/>
        </w:rPr>
        <w:t>. Dublin City University, Ireland.</w:t>
      </w:r>
    </w:p>
    <w:p w14:paraId="4F93CFAC"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Messersmith, J. G., &amp; Wales, W. J. (2011). Entrepreneurial orientation and performance in young firms: The role of human resource management. </w:t>
      </w:r>
      <w:r w:rsidRPr="00363D7E">
        <w:rPr>
          <w:rFonts w:ascii="Times New Roman" w:hAnsi="Times New Roman" w:cs="Times New Roman"/>
          <w:i/>
          <w:iCs/>
          <w:noProof/>
          <w:szCs w:val="24"/>
        </w:rPr>
        <w:t>International Small Business Journal</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31</w:t>
      </w:r>
      <w:r w:rsidRPr="00363D7E">
        <w:rPr>
          <w:rFonts w:ascii="Times New Roman" w:hAnsi="Times New Roman" w:cs="Times New Roman"/>
          <w:noProof/>
          <w:szCs w:val="24"/>
        </w:rPr>
        <w:t>(2), 115–136.</w:t>
      </w:r>
    </w:p>
    <w:p w14:paraId="7492CDB3"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Miller, D. (1983). The Correlates of Entrepreneurship in Three Types of Firms. </w:t>
      </w:r>
      <w:r w:rsidRPr="00363D7E">
        <w:rPr>
          <w:rFonts w:ascii="Times New Roman" w:hAnsi="Times New Roman" w:cs="Times New Roman"/>
          <w:i/>
          <w:iCs/>
          <w:noProof/>
          <w:szCs w:val="24"/>
        </w:rPr>
        <w:t>Management Science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29</w:t>
      </w:r>
      <w:r w:rsidRPr="00363D7E">
        <w:rPr>
          <w:rFonts w:ascii="Times New Roman" w:hAnsi="Times New Roman" w:cs="Times New Roman"/>
          <w:noProof/>
          <w:szCs w:val="24"/>
        </w:rPr>
        <w:t>(7), 770–791.</w:t>
      </w:r>
    </w:p>
    <w:p w14:paraId="3EEA5286"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Moreno, A. M., &amp; Casillas, J. C. (2008). Entrepreneurial orientation and growth of SMEs: A causal model. </w:t>
      </w:r>
      <w:r w:rsidRPr="00363D7E">
        <w:rPr>
          <w:rFonts w:ascii="Times New Roman" w:hAnsi="Times New Roman" w:cs="Times New Roman"/>
          <w:i/>
          <w:iCs/>
          <w:noProof/>
          <w:szCs w:val="24"/>
        </w:rPr>
        <w:t>Entrepreneurship: Theory and Practice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32</w:t>
      </w:r>
      <w:r w:rsidRPr="00363D7E">
        <w:rPr>
          <w:rFonts w:ascii="Times New Roman" w:hAnsi="Times New Roman" w:cs="Times New Roman"/>
          <w:noProof/>
          <w:szCs w:val="24"/>
        </w:rPr>
        <w:t>(3), 507–528.</w:t>
      </w:r>
    </w:p>
    <w:p w14:paraId="3E6CBA51"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Mosakowski, E. (1998). Entrepreneurial Resources, Organizational Choices, and Competitive Outcomes. </w:t>
      </w:r>
      <w:r w:rsidRPr="00363D7E">
        <w:rPr>
          <w:rFonts w:ascii="Times New Roman" w:hAnsi="Times New Roman" w:cs="Times New Roman"/>
          <w:i/>
          <w:iCs/>
          <w:noProof/>
          <w:szCs w:val="24"/>
        </w:rPr>
        <w:t>Organization Science</w:t>
      </w:r>
      <w:r w:rsidRPr="00363D7E">
        <w:rPr>
          <w:rFonts w:ascii="Times New Roman" w:hAnsi="Times New Roman" w:cs="Times New Roman"/>
          <w:noProof/>
          <w:szCs w:val="24"/>
        </w:rPr>
        <w:t>.</w:t>
      </w:r>
    </w:p>
    <w:p w14:paraId="6C3494E2"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Nasution, H. N., Mavondo, F. T., Matanda, M. J., &amp; Ndubisi, N. O. (2011). Entrepreneurship: Its relationship with market orientation and learning orientation and as antecedents to innovation and customer value. </w:t>
      </w:r>
      <w:r w:rsidRPr="00363D7E">
        <w:rPr>
          <w:rFonts w:ascii="Times New Roman" w:hAnsi="Times New Roman" w:cs="Times New Roman"/>
          <w:i/>
          <w:iCs/>
          <w:noProof/>
          <w:szCs w:val="24"/>
        </w:rPr>
        <w:t>Industrial Marketing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40</w:t>
      </w:r>
      <w:r w:rsidRPr="00363D7E">
        <w:rPr>
          <w:rFonts w:ascii="Times New Roman" w:hAnsi="Times New Roman" w:cs="Times New Roman"/>
          <w:noProof/>
          <w:szCs w:val="24"/>
        </w:rPr>
        <w:t>(3), 336–345.</w:t>
      </w:r>
    </w:p>
    <w:p w14:paraId="38408BAD"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Nunnally, J.C. and Bernstein, I. . (1994). </w:t>
      </w:r>
      <w:r w:rsidRPr="00363D7E">
        <w:rPr>
          <w:rFonts w:ascii="Times New Roman" w:hAnsi="Times New Roman" w:cs="Times New Roman"/>
          <w:i/>
          <w:iCs/>
          <w:noProof/>
          <w:szCs w:val="24"/>
        </w:rPr>
        <w:t>Psychometric Theory</w:t>
      </w:r>
      <w:r w:rsidRPr="00363D7E">
        <w:rPr>
          <w:rFonts w:ascii="Times New Roman" w:hAnsi="Times New Roman" w:cs="Times New Roman"/>
          <w:noProof/>
          <w:szCs w:val="24"/>
        </w:rPr>
        <w:t>. New York: McGraw-Hill.</w:t>
      </w:r>
    </w:p>
    <w:p w14:paraId="1F3B4324"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OECD. (1998). </w:t>
      </w:r>
      <w:r w:rsidRPr="00363D7E">
        <w:rPr>
          <w:rFonts w:ascii="Times New Roman" w:hAnsi="Times New Roman" w:cs="Times New Roman"/>
          <w:i/>
          <w:iCs/>
          <w:noProof/>
          <w:szCs w:val="24"/>
        </w:rPr>
        <w:t>Small Businesses, Job creation and Growth: Facts, Obstacles and Best Practices</w:t>
      </w:r>
      <w:r w:rsidRPr="00363D7E">
        <w:rPr>
          <w:rFonts w:ascii="Times New Roman" w:hAnsi="Times New Roman" w:cs="Times New Roman"/>
          <w:noProof/>
          <w:szCs w:val="24"/>
        </w:rPr>
        <w:t>. Paris: France.</w:t>
      </w:r>
    </w:p>
    <w:p w14:paraId="3F8B8702"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Okpara, J. O. (2011). Factors constraining the growth and survival of SMEs in Nigeria: Implications for poverty alleviation. </w:t>
      </w:r>
      <w:r w:rsidRPr="00363D7E">
        <w:rPr>
          <w:rFonts w:ascii="Times New Roman" w:hAnsi="Times New Roman" w:cs="Times New Roman"/>
          <w:i/>
          <w:iCs/>
          <w:noProof/>
          <w:szCs w:val="24"/>
        </w:rPr>
        <w:t>Management Research Review</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34</w:t>
      </w:r>
      <w:r w:rsidRPr="00363D7E">
        <w:rPr>
          <w:rFonts w:ascii="Times New Roman" w:hAnsi="Times New Roman" w:cs="Times New Roman"/>
          <w:noProof/>
          <w:szCs w:val="24"/>
        </w:rPr>
        <w:t>(2), 156–171.</w:t>
      </w:r>
    </w:p>
    <w:p w14:paraId="66C723C7"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Ong, J. W., Ismail, H. Bin, &amp; Goh, G. G. G. (2010). The Competitive Advantage of Small and Medium Enterprises (SMEs): The Role of Entrepreneurship and Luck. </w:t>
      </w:r>
      <w:r w:rsidRPr="00363D7E">
        <w:rPr>
          <w:rFonts w:ascii="Times New Roman" w:hAnsi="Times New Roman" w:cs="Times New Roman"/>
          <w:i/>
          <w:iCs/>
          <w:noProof/>
          <w:szCs w:val="24"/>
        </w:rPr>
        <w:t>Journal of Small Business &amp; Entrepreneurship</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23</w:t>
      </w:r>
      <w:r w:rsidRPr="00363D7E">
        <w:rPr>
          <w:rFonts w:ascii="Times New Roman" w:hAnsi="Times New Roman" w:cs="Times New Roman"/>
          <w:noProof/>
          <w:szCs w:val="24"/>
        </w:rPr>
        <w:t>(November 2014), 373–391.</w:t>
      </w:r>
    </w:p>
    <w:p w14:paraId="00B47126"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Rosenbusch, N., Rauch, A., &amp; Bausch, A. (2013). The Mediating Role of Entrepreneurial Orientation in the Task Environment-Performance Relationship: A Meta-Analysis. </w:t>
      </w:r>
      <w:r w:rsidRPr="00363D7E">
        <w:rPr>
          <w:rFonts w:ascii="Times New Roman" w:hAnsi="Times New Roman" w:cs="Times New Roman"/>
          <w:i/>
          <w:iCs/>
          <w:noProof/>
          <w:szCs w:val="24"/>
        </w:rPr>
        <w:t>Journal of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39</w:t>
      </w:r>
      <w:r w:rsidRPr="00363D7E">
        <w:rPr>
          <w:rFonts w:ascii="Times New Roman" w:hAnsi="Times New Roman" w:cs="Times New Roman"/>
          <w:noProof/>
          <w:szCs w:val="24"/>
        </w:rPr>
        <w:t>(3), 633–659.</w:t>
      </w:r>
    </w:p>
    <w:p w14:paraId="256568D7"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Rothaermel, F. T. (2013). </w:t>
      </w:r>
      <w:r w:rsidRPr="00363D7E">
        <w:rPr>
          <w:rFonts w:ascii="Times New Roman" w:hAnsi="Times New Roman" w:cs="Times New Roman"/>
          <w:i/>
          <w:iCs/>
          <w:noProof/>
          <w:szCs w:val="24"/>
        </w:rPr>
        <w:t>Strategic Management , Concepts and Cases</w:t>
      </w:r>
      <w:r w:rsidRPr="00363D7E">
        <w:rPr>
          <w:rFonts w:ascii="Times New Roman" w:hAnsi="Times New Roman" w:cs="Times New Roman"/>
          <w:noProof/>
          <w:szCs w:val="24"/>
        </w:rPr>
        <w:t>. New York: McGraw Hill/ Irwan.</w:t>
      </w:r>
    </w:p>
    <w:p w14:paraId="3E73D620"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Schlögl, H. (2004). Small and medium enterprises: Seizing the potential. </w:t>
      </w:r>
      <w:r w:rsidRPr="00363D7E">
        <w:rPr>
          <w:rFonts w:ascii="Times New Roman" w:hAnsi="Times New Roman" w:cs="Times New Roman"/>
          <w:i/>
          <w:iCs/>
          <w:noProof/>
          <w:szCs w:val="24"/>
        </w:rPr>
        <w:t>Organizational for Economic Cooperation and Development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243</w:t>
      </w:r>
      <w:r w:rsidRPr="00363D7E">
        <w:rPr>
          <w:rFonts w:ascii="Times New Roman" w:hAnsi="Times New Roman" w:cs="Times New Roman"/>
          <w:noProof/>
          <w:szCs w:val="24"/>
        </w:rPr>
        <w:t>(May), 46–48.</w:t>
      </w:r>
    </w:p>
    <w:p w14:paraId="7CEA5CAE"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lastRenderedPageBreak/>
        <w:t xml:space="preserve">Sentsho, J., Maiketso, J. T., Sengwakets, M., Anderson, V. N., &amp; Kayawe, T. (2007). </w:t>
      </w:r>
      <w:r w:rsidRPr="00363D7E">
        <w:rPr>
          <w:rFonts w:ascii="Times New Roman" w:hAnsi="Times New Roman" w:cs="Times New Roman"/>
          <w:i/>
          <w:iCs/>
          <w:noProof/>
          <w:szCs w:val="24"/>
        </w:rPr>
        <w:t>Performance and competitiveness of small and medium sized manufacturing enterprises in Botswana</w:t>
      </w:r>
      <w:r w:rsidRPr="00363D7E">
        <w:rPr>
          <w:rFonts w:ascii="Times New Roman" w:hAnsi="Times New Roman" w:cs="Times New Roman"/>
          <w:noProof/>
          <w:szCs w:val="24"/>
        </w:rPr>
        <w:t>. Gaborone, Botswana: BIDPA.</w:t>
      </w:r>
    </w:p>
    <w:p w14:paraId="45F279A5" w14:textId="2A8EF2CD" w:rsidR="00362AFA" w:rsidRPr="004C5533" w:rsidRDefault="00362AFA" w:rsidP="004C5533">
      <w:pPr>
        <w:widowControl w:val="0"/>
        <w:autoSpaceDE w:val="0"/>
        <w:autoSpaceDN w:val="0"/>
        <w:adjustRightInd w:val="0"/>
        <w:spacing w:line="240" w:lineRule="auto"/>
        <w:ind w:left="480" w:hanging="480"/>
        <w:rPr>
          <w:rFonts w:ascii="Times New Roman" w:hAnsi="Times New Roman" w:cs="Times New Roman"/>
          <w:i/>
          <w:iCs/>
          <w:noProof/>
          <w:szCs w:val="24"/>
        </w:rPr>
      </w:pPr>
      <w:r w:rsidRPr="00363D7E">
        <w:rPr>
          <w:rFonts w:ascii="Times New Roman" w:hAnsi="Times New Roman" w:cs="Times New Roman"/>
          <w:noProof/>
          <w:szCs w:val="24"/>
        </w:rPr>
        <w:t xml:space="preserve">Shariff, M. N. M., Peou, C., &amp; Ali, J. (2010). Moderating effect of government policy on entrepreneurship and growth performance of small-medium enterprises in Cambodia. </w:t>
      </w:r>
      <w:r w:rsidRPr="00363D7E">
        <w:rPr>
          <w:rFonts w:ascii="Times New Roman" w:hAnsi="Times New Roman" w:cs="Times New Roman"/>
          <w:i/>
          <w:iCs/>
          <w:noProof/>
          <w:szCs w:val="24"/>
        </w:rPr>
        <w:t>International</w:t>
      </w:r>
      <w:r w:rsidR="004C5533" w:rsidRPr="004C5533">
        <w:rPr>
          <w:rFonts w:ascii="Times New Roman" w:hAnsi="Times New Roman" w:cs="Times New Roman"/>
          <w:i/>
          <w:iCs/>
          <w:noProof/>
          <w:szCs w:val="24"/>
        </w:rPr>
        <w:t xml:space="preserve"> Journal of Business and Management Science</w:t>
      </w:r>
      <w:r w:rsidRPr="004C5533">
        <w:rPr>
          <w:rFonts w:ascii="Times New Roman" w:hAnsi="Times New Roman" w:cs="Times New Roman"/>
          <w:i/>
          <w:iCs/>
          <w:noProof/>
          <w:szCs w:val="24"/>
        </w:rPr>
        <w:t xml:space="preserve">, </w:t>
      </w:r>
      <w:r w:rsidRPr="004C5533">
        <w:rPr>
          <w:rFonts w:ascii="Times New Roman" w:hAnsi="Times New Roman" w:cs="Times New Roman"/>
          <w:noProof/>
          <w:szCs w:val="24"/>
        </w:rPr>
        <w:t>3(1), 57–72.</w:t>
      </w:r>
    </w:p>
    <w:p w14:paraId="0231814B" w14:textId="3C55F885" w:rsidR="00362AFA" w:rsidRPr="00363D7E" w:rsidRDefault="00362AFA" w:rsidP="004C5533">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Shariff, M., &amp; Peou, C. (2008). The relationship of entrepreneurial values, firm financing and the management and growth performance of small-medium enterprises in Cambodia. </w:t>
      </w:r>
      <w:r w:rsidR="004C5533">
        <w:rPr>
          <w:rStyle w:val="apple-converted-space"/>
          <w:rFonts w:ascii="Arial" w:hAnsi="Arial" w:cs="Arial"/>
          <w:color w:val="222222"/>
          <w:sz w:val="20"/>
          <w:szCs w:val="20"/>
          <w:shd w:val="clear" w:color="auto" w:fill="FFFFFF"/>
        </w:rPr>
        <w:t> </w:t>
      </w:r>
      <w:r w:rsidR="004C5533" w:rsidRPr="004C5533">
        <w:rPr>
          <w:rFonts w:ascii="Times New Roman" w:hAnsi="Times New Roman" w:cs="Times New Roman"/>
          <w:i/>
          <w:iCs/>
          <w:noProof/>
          <w:szCs w:val="24"/>
        </w:rPr>
        <w:t>Problems and Perspectives in Mana</w:t>
      </w:r>
      <w:bookmarkStart w:id="8" w:name="_GoBack"/>
      <w:bookmarkEnd w:id="8"/>
      <w:r w:rsidR="004C5533" w:rsidRPr="004C5533">
        <w:rPr>
          <w:rFonts w:ascii="Times New Roman" w:hAnsi="Times New Roman" w:cs="Times New Roman"/>
          <w:i/>
          <w:iCs/>
          <w:noProof/>
          <w:szCs w:val="24"/>
        </w:rPr>
        <w:t>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6</w:t>
      </w:r>
      <w:r w:rsidRPr="00363D7E">
        <w:rPr>
          <w:rFonts w:ascii="Times New Roman" w:hAnsi="Times New Roman" w:cs="Times New Roman"/>
          <w:noProof/>
          <w:szCs w:val="24"/>
        </w:rPr>
        <w:t xml:space="preserve">(4), 55–64. </w:t>
      </w:r>
    </w:p>
    <w:p w14:paraId="4039BF43"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Smith, D., &amp; Langfield-smith, K. (2004). Structural Equation Modeling in Management Accounting Resear.</w:t>
      </w:r>
    </w:p>
    <w:p w14:paraId="026B3CD8"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Southiseng, N., &amp; Walsh, J. (2010). Competition and Management Issues of SME Entrepreneurs in Laos : Evidence from Empirical Studies in Vientiane Municipality , Savannakhet and Luang Prabang. </w:t>
      </w:r>
      <w:r w:rsidRPr="00363D7E">
        <w:rPr>
          <w:rFonts w:ascii="Times New Roman" w:hAnsi="Times New Roman" w:cs="Times New Roman"/>
          <w:i/>
          <w:iCs/>
          <w:noProof/>
          <w:szCs w:val="24"/>
        </w:rPr>
        <w:t>Asian Journal of Business Management</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w:t>
      </w:r>
      <w:r w:rsidRPr="00363D7E">
        <w:rPr>
          <w:rFonts w:ascii="Times New Roman" w:hAnsi="Times New Roman" w:cs="Times New Roman"/>
          <w:noProof/>
          <w:szCs w:val="24"/>
        </w:rPr>
        <w:t>(3), 57–72.</w:t>
      </w:r>
    </w:p>
    <w:p w14:paraId="6709EA3B"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Stel, A. van, Storey, D., &amp; Thurik, R. (2006). The effect of business regulations on nascent and actual entrepreneurship. </w:t>
      </w:r>
      <w:r w:rsidRPr="00363D7E">
        <w:rPr>
          <w:rFonts w:ascii="Times New Roman" w:hAnsi="Times New Roman" w:cs="Times New Roman"/>
          <w:i/>
          <w:iCs/>
          <w:noProof/>
          <w:szCs w:val="24"/>
        </w:rPr>
        <w:t>Papers on Entrepreneurship, Growth and Public Policy.</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(No. 0406)</w:t>
      </w:r>
      <w:r w:rsidRPr="00363D7E">
        <w:rPr>
          <w:rFonts w:ascii="Times New Roman" w:hAnsi="Times New Roman" w:cs="Times New Roman"/>
          <w:noProof/>
          <w:szCs w:val="24"/>
        </w:rPr>
        <w:t>, 31.</w:t>
      </w:r>
    </w:p>
    <w:p w14:paraId="026BC962"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Stone, M. (1974). Cross-Validatory Choice and Assessment of Statistical Predictions. </w:t>
      </w:r>
      <w:r w:rsidRPr="00363D7E">
        <w:rPr>
          <w:rFonts w:ascii="Times New Roman" w:hAnsi="Times New Roman" w:cs="Times New Roman"/>
          <w:i/>
          <w:iCs/>
          <w:noProof/>
          <w:szCs w:val="24"/>
        </w:rPr>
        <w:t>Journal of the Royal Statistical Society</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36</w:t>
      </w:r>
      <w:r w:rsidRPr="00363D7E">
        <w:rPr>
          <w:rFonts w:ascii="Times New Roman" w:hAnsi="Times New Roman" w:cs="Times New Roman"/>
          <w:noProof/>
          <w:szCs w:val="24"/>
        </w:rPr>
        <w:t>(2), 111–147.</w:t>
      </w:r>
    </w:p>
    <w:p w14:paraId="7C1966F3"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Thompson, J. L. (2001). </w:t>
      </w:r>
      <w:r w:rsidRPr="00363D7E">
        <w:rPr>
          <w:rFonts w:ascii="Times New Roman" w:hAnsi="Times New Roman" w:cs="Times New Roman"/>
          <w:i/>
          <w:iCs/>
          <w:noProof/>
          <w:szCs w:val="24"/>
        </w:rPr>
        <w:t>strategy management</w:t>
      </w:r>
      <w:r w:rsidRPr="00363D7E">
        <w:rPr>
          <w:rFonts w:ascii="Times New Roman" w:hAnsi="Times New Roman" w:cs="Times New Roman"/>
          <w:noProof/>
          <w:szCs w:val="24"/>
        </w:rPr>
        <w:t xml:space="preserve"> (5th ed). London: Thomsom Learning.</w:t>
      </w:r>
    </w:p>
    <w:p w14:paraId="758F7AE0"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Wales, W. J., Gupta, V. K., &amp; Mousa, F.-T. (2011). Empirical research on entrepreneurial orientation: An assessment and suggestions for future research. </w:t>
      </w:r>
      <w:r w:rsidRPr="00363D7E">
        <w:rPr>
          <w:rFonts w:ascii="Times New Roman" w:hAnsi="Times New Roman" w:cs="Times New Roman"/>
          <w:i/>
          <w:iCs/>
          <w:noProof/>
          <w:szCs w:val="24"/>
        </w:rPr>
        <w:t>International Small Business Journal</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w:t>
      </w:r>
      <w:r w:rsidRPr="00363D7E">
        <w:rPr>
          <w:rFonts w:ascii="Times New Roman" w:hAnsi="Times New Roman" w:cs="Times New Roman"/>
          <w:noProof/>
          <w:szCs w:val="24"/>
        </w:rPr>
        <w:t>(4), 357–383.</w:t>
      </w:r>
    </w:p>
    <w:p w14:paraId="1C69EB39"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Walter, A., Auer, M., &amp; Ritter, T. (2006). The impact of network capabilities and entrepreneurial orientation on university spin-off performance. </w:t>
      </w:r>
      <w:r w:rsidRPr="00363D7E">
        <w:rPr>
          <w:rFonts w:ascii="Times New Roman" w:hAnsi="Times New Roman" w:cs="Times New Roman"/>
          <w:i/>
          <w:iCs/>
          <w:noProof/>
          <w:szCs w:val="24"/>
        </w:rPr>
        <w:t>Journal of Business Venturing</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21</w:t>
      </w:r>
      <w:r w:rsidRPr="00363D7E">
        <w:rPr>
          <w:rFonts w:ascii="Times New Roman" w:hAnsi="Times New Roman" w:cs="Times New Roman"/>
          <w:noProof/>
          <w:szCs w:val="24"/>
        </w:rPr>
        <w:t>(4), 541–567.</w:t>
      </w:r>
    </w:p>
    <w:p w14:paraId="2671A953"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Wetzels, M., Odekerken-Schröder, G., &amp; van Oppen, C. (2009). Using PLS path modeling for assessing hierarchical construct models: guidelines and empirical illustration. </w:t>
      </w:r>
      <w:r w:rsidRPr="00363D7E">
        <w:rPr>
          <w:rFonts w:ascii="Times New Roman" w:hAnsi="Times New Roman" w:cs="Times New Roman"/>
          <w:i/>
          <w:iCs/>
          <w:noProof/>
          <w:szCs w:val="24"/>
        </w:rPr>
        <w:t>MIS Quarterly</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33</w:t>
      </w:r>
      <w:r w:rsidRPr="00363D7E">
        <w:rPr>
          <w:rFonts w:ascii="Times New Roman" w:hAnsi="Times New Roman" w:cs="Times New Roman"/>
          <w:noProof/>
          <w:szCs w:val="24"/>
        </w:rPr>
        <w:t>(1), 177–195.</w:t>
      </w:r>
    </w:p>
    <w:p w14:paraId="717990CB"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Wiklund, J., &amp; Shepherd, D. (2003). Knowledge-based resources, entrepreneurial orientation, and the performance of small and medium-sized businesses. </w:t>
      </w:r>
      <w:r w:rsidRPr="00363D7E">
        <w:rPr>
          <w:rFonts w:ascii="Times New Roman" w:hAnsi="Times New Roman" w:cs="Times New Roman"/>
          <w:i/>
          <w:iCs/>
          <w:noProof/>
          <w:szCs w:val="24"/>
        </w:rPr>
        <w:t>Strategic Management Journal</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24</w:t>
      </w:r>
      <w:r w:rsidRPr="00363D7E">
        <w:rPr>
          <w:rFonts w:ascii="Times New Roman" w:hAnsi="Times New Roman" w:cs="Times New Roman"/>
          <w:noProof/>
          <w:szCs w:val="24"/>
        </w:rPr>
        <w:t>(13), 1307–1314.</w:t>
      </w:r>
    </w:p>
    <w:p w14:paraId="5FB4AC10" w14:textId="57514B3C" w:rsidR="00362AFA" w:rsidRPr="00363D7E" w:rsidRDefault="00362AFA" w:rsidP="005C7FE5">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Wiklund, J., &amp; Shepherd, D. (2005). Entrepreneurial orientation and small business performance: a configurational approach. </w:t>
      </w:r>
      <w:r w:rsidRPr="00363D7E">
        <w:rPr>
          <w:rFonts w:ascii="Times New Roman" w:hAnsi="Times New Roman" w:cs="Times New Roman"/>
          <w:i/>
          <w:iCs/>
          <w:noProof/>
          <w:szCs w:val="24"/>
        </w:rPr>
        <w:t>Journal of Business Venturing</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20</w:t>
      </w:r>
      <w:r w:rsidRPr="00363D7E">
        <w:rPr>
          <w:rFonts w:ascii="Times New Roman" w:hAnsi="Times New Roman" w:cs="Times New Roman"/>
          <w:noProof/>
          <w:szCs w:val="24"/>
        </w:rPr>
        <w:t xml:space="preserve">(1), 71–91. </w:t>
      </w:r>
    </w:p>
    <w:p w14:paraId="3139C671" w14:textId="77777777" w:rsidR="00362AFA" w:rsidRPr="00363D7E" w:rsidRDefault="00362AFA" w:rsidP="00362AFA">
      <w:pPr>
        <w:widowControl w:val="0"/>
        <w:autoSpaceDE w:val="0"/>
        <w:autoSpaceDN w:val="0"/>
        <w:adjustRightInd w:val="0"/>
        <w:spacing w:line="240" w:lineRule="auto"/>
        <w:ind w:left="480" w:hanging="480"/>
        <w:rPr>
          <w:rFonts w:ascii="Times New Roman" w:hAnsi="Times New Roman" w:cs="Times New Roman"/>
          <w:noProof/>
          <w:szCs w:val="24"/>
        </w:rPr>
      </w:pPr>
      <w:r w:rsidRPr="00363D7E">
        <w:rPr>
          <w:rFonts w:ascii="Times New Roman" w:hAnsi="Times New Roman" w:cs="Times New Roman"/>
          <w:noProof/>
          <w:szCs w:val="24"/>
        </w:rPr>
        <w:t xml:space="preserve">Yusof, M. (2009). Entrepreneurial Leadership and Academic Entrepreneurship in Malaysian Public Research Universities. </w:t>
      </w:r>
      <w:r w:rsidRPr="00363D7E">
        <w:rPr>
          <w:rFonts w:ascii="Times New Roman" w:hAnsi="Times New Roman" w:cs="Times New Roman"/>
          <w:i/>
          <w:iCs/>
          <w:noProof/>
          <w:szCs w:val="24"/>
        </w:rPr>
        <w:t>International Journal of Entrepreneurship and Innovation Management</w:t>
      </w:r>
      <w:r w:rsidRPr="00363D7E">
        <w:rPr>
          <w:rFonts w:ascii="Times New Roman" w:hAnsi="Times New Roman" w:cs="Times New Roman"/>
          <w:noProof/>
          <w:szCs w:val="24"/>
        </w:rPr>
        <w:t>.</w:t>
      </w:r>
    </w:p>
    <w:p w14:paraId="548F384C" w14:textId="1CB8E397" w:rsidR="001D4CAB" w:rsidRDefault="00362AFA" w:rsidP="005C7FE5">
      <w:pPr>
        <w:widowControl w:val="0"/>
        <w:autoSpaceDE w:val="0"/>
        <w:autoSpaceDN w:val="0"/>
        <w:adjustRightInd w:val="0"/>
        <w:spacing w:line="240" w:lineRule="auto"/>
        <w:ind w:left="480" w:hanging="480"/>
        <w:rPr>
          <w:rFonts w:ascii="Times New Roman" w:hAnsi="Times New Roman" w:cs="Times New Roman"/>
          <w:lang w:val="en-GB" w:eastAsia="en-GB"/>
        </w:rPr>
      </w:pPr>
      <w:r w:rsidRPr="00363D7E">
        <w:rPr>
          <w:rFonts w:ascii="Times New Roman" w:hAnsi="Times New Roman" w:cs="Times New Roman"/>
          <w:noProof/>
          <w:szCs w:val="24"/>
        </w:rPr>
        <w:t xml:space="preserve">Zulkifli, R., &amp; Rosli, M. (2013). Entrepreneurial Orientation and Business Success of Malay Entrepreneurs: Religiosity as Moderator. </w:t>
      </w:r>
      <w:r w:rsidRPr="00363D7E">
        <w:rPr>
          <w:rFonts w:ascii="Times New Roman" w:hAnsi="Times New Roman" w:cs="Times New Roman"/>
          <w:i/>
          <w:iCs/>
          <w:noProof/>
          <w:szCs w:val="24"/>
        </w:rPr>
        <w:t>International Journal of Humanities and Social Science</w:t>
      </w:r>
      <w:r w:rsidRPr="00363D7E">
        <w:rPr>
          <w:rFonts w:ascii="Times New Roman" w:hAnsi="Times New Roman" w:cs="Times New Roman"/>
          <w:noProof/>
          <w:szCs w:val="24"/>
        </w:rPr>
        <w:t xml:space="preserve">, </w:t>
      </w:r>
      <w:r w:rsidRPr="00363D7E">
        <w:rPr>
          <w:rFonts w:ascii="Times New Roman" w:hAnsi="Times New Roman" w:cs="Times New Roman"/>
          <w:i/>
          <w:iCs/>
          <w:noProof/>
          <w:szCs w:val="24"/>
        </w:rPr>
        <w:t>3</w:t>
      </w:r>
      <w:r w:rsidRPr="00363D7E">
        <w:rPr>
          <w:rFonts w:ascii="Times New Roman" w:hAnsi="Times New Roman" w:cs="Times New Roman"/>
          <w:noProof/>
          <w:szCs w:val="24"/>
        </w:rPr>
        <w:t>(10), 264–275.</w:t>
      </w:r>
      <w:r>
        <w:rPr>
          <w:lang w:val="en-GB" w:eastAsia="en-GB" w:bidi="ar-JO"/>
        </w:rPr>
        <w:fldChar w:fldCharType="end"/>
      </w:r>
    </w:p>
    <w:p w14:paraId="156FA7A9" w14:textId="77777777" w:rsidR="001D4CAB" w:rsidRDefault="001D4CAB" w:rsidP="00362AFA">
      <w:pPr>
        <w:spacing w:line="240" w:lineRule="auto"/>
        <w:rPr>
          <w:rFonts w:ascii="Times New Roman" w:hAnsi="Times New Roman" w:cs="Times New Roman"/>
          <w:lang w:val="en-GB" w:eastAsia="en-GB"/>
        </w:rPr>
      </w:pPr>
    </w:p>
    <w:p w14:paraId="777FAF05" w14:textId="77777777" w:rsidR="001D4CAB" w:rsidRDefault="001D4CAB" w:rsidP="00362AFA">
      <w:pPr>
        <w:spacing w:line="240" w:lineRule="auto"/>
        <w:rPr>
          <w:rFonts w:ascii="Times New Roman" w:hAnsi="Times New Roman" w:cs="Times New Roman"/>
          <w:lang w:val="en-GB" w:eastAsia="en-GB"/>
        </w:rPr>
      </w:pPr>
    </w:p>
    <w:p w14:paraId="786A4E98" w14:textId="77777777" w:rsidR="001D4CAB" w:rsidRPr="00F0155A" w:rsidRDefault="001D4CAB" w:rsidP="001D4CAB">
      <w:pPr>
        <w:spacing w:line="240" w:lineRule="auto"/>
        <w:rPr>
          <w:rFonts w:ascii="Times New Roman" w:hAnsi="Times New Roman" w:cs="Times New Roman"/>
        </w:rPr>
      </w:pPr>
    </w:p>
    <w:p w14:paraId="156326D9" w14:textId="77777777" w:rsidR="00846698" w:rsidRPr="001D4CAB" w:rsidRDefault="00846698" w:rsidP="001D4CAB"/>
    <w:sectPr w:rsidR="00846698" w:rsidRPr="001D4CAB" w:rsidSect="00DF77C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D48CB" w14:textId="77777777" w:rsidR="001E0C19" w:rsidRDefault="001E0C19" w:rsidP="005C7FE5">
      <w:pPr>
        <w:spacing w:after="0" w:line="240" w:lineRule="auto"/>
      </w:pPr>
      <w:r>
        <w:separator/>
      </w:r>
    </w:p>
  </w:endnote>
  <w:endnote w:type="continuationSeparator" w:id="0">
    <w:p w14:paraId="36AE3720" w14:textId="77777777" w:rsidR="001E0C19" w:rsidRDefault="001E0C19" w:rsidP="005C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20002A87"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037005"/>
      <w:docPartObj>
        <w:docPartGallery w:val="Page Numbers (Bottom of Page)"/>
        <w:docPartUnique/>
      </w:docPartObj>
    </w:sdtPr>
    <w:sdtEndPr>
      <w:rPr>
        <w:noProof/>
      </w:rPr>
    </w:sdtEndPr>
    <w:sdtContent>
      <w:p w14:paraId="332D6E14" w14:textId="142F38E4" w:rsidR="00AA503F" w:rsidRDefault="00AA503F">
        <w:pPr>
          <w:pStyle w:val="Footer"/>
        </w:pPr>
        <w:r>
          <w:fldChar w:fldCharType="begin"/>
        </w:r>
        <w:r>
          <w:instrText xml:space="preserve"> PAGE   \* MERGEFORMAT </w:instrText>
        </w:r>
        <w:r>
          <w:fldChar w:fldCharType="separate"/>
        </w:r>
        <w:r w:rsidR="004C5533">
          <w:rPr>
            <w:noProof/>
          </w:rPr>
          <w:t>17</w:t>
        </w:r>
        <w:r>
          <w:rPr>
            <w:noProof/>
          </w:rPr>
          <w:fldChar w:fldCharType="end"/>
        </w:r>
      </w:p>
    </w:sdtContent>
  </w:sdt>
  <w:p w14:paraId="35DFE838" w14:textId="77777777" w:rsidR="00AA503F" w:rsidRDefault="00AA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77E2" w14:textId="77777777" w:rsidR="001E0C19" w:rsidRDefault="001E0C19" w:rsidP="005C7FE5">
      <w:pPr>
        <w:spacing w:after="0" w:line="240" w:lineRule="auto"/>
      </w:pPr>
      <w:r>
        <w:separator/>
      </w:r>
    </w:p>
  </w:footnote>
  <w:footnote w:type="continuationSeparator" w:id="0">
    <w:p w14:paraId="2FA2D516" w14:textId="77777777" w:rsidR="001E0C19" w:rsidRDefault="001E0C19" w:rsidP="005C7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61A1"/>
    <w:multiLevelType w:val="multilevel"/>
    <w:tmpl w:val="BD84F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FE3A8F"/>
    <w:multiLevelType w:val="multilevel"/>
    <w:tmpl w:val="ABD211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F751A2"/>
    <w:multiLevelType w:val="hybridMultilevel"/>
    <w:tmpl w:val="6AA003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46C1A"/>
    <w:multiLevelType w:val="hybridMultilevel"/>
    <w:tmpl w:val="43F0A2AA"/>
    <w:lvl w:ilvl="0" w:tplc="44B08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B269B"/>
    <w:multiLevelType w:val="hybridMultilevel"/>
    <w:tmpl w:val="922A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E6D48"/>
    <w:multiLevelType w:val="hybridMultilevel"/>
    <w:tmpl w:val="5A42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AD65E1"/>
    <w:multiLevelType w:val="hybridMultilevel"/>
    <w:tmpl w:val="3C947B3C"/>
    <w:lvl w:ilvl="0" w:tplc="89A892B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85A05CA"/>
    <w:multiLevelType w:val="hybridMultilevel"/>
    <w:tmpl w:val="9E8E5050"/>
    <w:lvl w:ilvl="0" w:tplc="0409000F">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F6E79AB"/>
    <w:multiLevelType w:val="hybridMultilevel"/>
    <w:tmpl w:val="B0CE7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E4419A5"/>
    <w:multiLevelType w:val="multilevel"/>
    <w:tmpl w:val="55D6629C"/>
    <w:lvl w:ilvl="0">
      <w:start w:val="1"/>
      <w:numFmt w:val="decimal"/>
      <w:lvlText w:val="%1"/>
      <w:lvlJc w:val="left"/>
      <w:pPr>
        <w:ind w:left="432" w:hanging="432"/>
      </w:pPr>
    </w:lvl>
    <w:lvl w:ilvl="1">
      <w:start w:val="1"/>
      <w:numFmt w:val="decimal"/>
      <w:lvlText w:val="%1.%2"/>
      <w:lvlJc w:val="left"/>
      <w:pPr>
        <w:ind w:left="576" w:hanging="576"/>
      </w:pPr>
      <w:rPr>
        <w:b/>
        <w:bCs/>
        <w:sz w:val="28"/>
        <w:szCs w:val="28"/>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FD83D61"/>
    <w:multiLevelType w:val="hybridMultilevel"/>
    <w:tmpl w:val="8AAA0732"/>
    <w:lvl w:ilvl="0" w:tplc="6BA873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C2C64"/>
    <w:multiLevelType w:val="hybridMultilevel"/>
    <w:tmpl w:val="E4B6BF52"/>
    <w:lvl w:ilvl="0" w:tplc="0C846D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36E6F"/>
    <w:multiLevelType w:val="multilevel"/>
    <w:tmpl w:val="D41AA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A3B1F76"/>
    <w:multiLevelType w:val="multilevel"/>
    <w:tmpl w:val="2FE0F24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24C2D09"/>
    <w:multiLevelType w:val="multilevel"/>
    <w:tmpl w:val="00CCF79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5047627"/>
    <w:multiLevelType w:val="multilevel"/>
    <w:tmpl w:val="4CFE3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F8731C8"/>
    <w:multiLevelType w:val="multilevel"/>
    <w:tmpl w:val="B83676AE"/>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5"/>
  </w:num>
  <w:num w:numId="3">
    <w:abstractNumId w:val="1"/>
  </w:num>
  <w:num w:numId="4">
    <w:abstractNumId w:val="9"/>
  </w:num>
  <w:num w:numId="5">
    <w:abstractNumId w:val="12"/>
  </w:num>
  <w:num w:numId="6">
    <w:abstractNumId w:val="5"/>
  </w:num>
  <w:num w:numId="7">
    <w:abstractNumId w:val="6"/>
  </w:num>
  <w:num w:numId="8">
    <w:abstractNumId w:val="8"/>
  </w:num>
  <w:num w:numId="9">
    <w:abstractNumId w:val="14"/>
  </w:num>
  <w:num w:numId="10">
    <w:abstractNumId w:val="10"/>
  </w:num>
  <w:num w:numId="11">
    <w:abstractNumId w:val="7"/>
  </w:num>
  <w:num w:numId="12">
    <w:abstractNumId w:val="2"/>
  </w:num>
  <w:num w:numId="13">
    <w:abstractNumId w:val="13"/>
  </w:num>
  <w:num w:numId="14">
    <w:abstractNumId w:val="0"/>
  </w:num>
  <w:num w:numId="15">
    <w:abstractNumId w:val="13"/>
    <w:lvlOverride w:ilvl="0">
      <w:startOverride w:val="5"/>
    </w:lvlOverride>
  </w:num>
  <w:num w:numId="16">
    <w:abstractNumId w:val="13"/>
    <w:lvlOverride w:ilvl="0">
      <w:startOverride w:val="5"/>
    </w:lvlOverride>
  </w:num>
  <w:num w:numId="17">
    <w:abstractNumId w:val="13"/>
  </w:num>
  <w:num w:numId="1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9A"/>
    <w:rsid w:val="000B6031"/>
    <w:rsid w:val="000D5261"/>
    <w:rsid w:val="00102CA7"/>
    <w:rsid w:val="001335AB"/>
    <w:rsid w:val="001D4CAB"/>
    <w:rsid w:val="001E0C19"/>
    <w:rsid w:val="0020388A"/>
    <w:rsid w:val="002A0C01"/>
    <w:rsid w:val="002B1965"/>
    <w:rsid w:val="002E3DBF"/>
    <w:rsid w:val="002E51CA"/>
    <w:rsid w:val="003071DB"/>
    <w:rsid w:val="0030724E"/>
    <w:rsid w:val="003279BD"/>
    <w:rsid w:val="00362AFA"/>
    <w:rsid w:val="003A0DC2"/>
    <w:rsid w:val="003F1F71"/>
    <w:rsid w:val="003F44F9"/>
    <w:rsid w:val="003F55F5"/>
    <w:rsid w:val="004C5533"/>
    <w:rsid w:val="0050177F"/>
    <w:rsid w:val="00563EB3"/>
    <w:rsid w:val="00580F41"/>
    <w:rsid w:val="0059263F"/>
    <w:rsid w:val="00595726"/>
    <w:rsid w:val="005A3898"/>
    <w:rsid w:val="005C7FE5"/>
    <w:rsid w:val="00632679"/>
    <w:rsid w:val="00687C30"/>
    <w:rsid w:val="006D74F5"/>
    <w:rsid w:val="007942F3"/>
    <w:rsid w:val="007F2B7A"/>
    <w:rsid w:val="00846698"/>
    <w:rsid w:val="00865DD0"/>
    <w:rsid w:val="008A0059"/>
    <w:rsid w:val="008C07B8"/>
    <w:rsid w:val="00943EDF"/>
    <w:rsid w:val="00A132C5"/>
    <w:rsid w:val="00AA503F"/>
    <w:rsid w:val="00AB1A84"/>
    <w:rsid w:val="00B51675"/>
    <w:rsid w:val="00B61E6B"/>
    <w:rsid w:val="00B8246C"/>
    <w:rsid w:val="00BA6973"/>
    <w:rsid w:val="00BE2357"/>
    <w:rsid w:val="00CB3159"/>
    <w:rsid w:val="00CE4893"/>
    <w:rsid w:val="00D715F9"/>
    <w:rsid w:val="00D93873"/>
    <w:rsid w:val="00DC2C5E"/>
    <w:rsid w:val="00DD7A8F"/>
    <w:rsid w:val="00DF77C8"/>
    <w:rsid w:val="00F0155A"/>
    <w:rsid w:val="00F0299A"/>
    <w:rsid w:val="00F1035D"/>
    <w:rsid w:val="00F727B7"/>
    <w:rsid w:val="00F82CF0"/>
    <w:rsid w:val="00FA4030"/>
    <w:rsid w:val="00FE0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9FC5"/>
  <w15:chartTrackingRefBased/>
  <w15:docId w15:val="{48F89E33-F4E2-456B-8732-0976D828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8A"/>
    <w:pPr>
      <w:spacing w:after="120" w:line="360" w:lineRule="auto"/>
      <w:jc w:val="both"/>
    </w:pPr>
    <w:rPr>
      <w:rFonts w:asciiTheme="majorBidi" w:hAnsiTheme="majorBidi"/>
    </w:rPr>
  </w:style>
  <w:style w:type="paragraph" w:styleId="Heading1">
    <w:name w:val="heading 1"/>
    <w:basedOn w:val="Normal"/>
    <w:next w:val="Normal"/>
    <w:link w:val="Heading1Char"/>
    <w:autoRedefine/>
    <w:uiPriority w:val="9"/>
    <w:qFormat/>
    <w:rsid w:val="007F2B7A"/>
    <w:pPr>
      <w:keepNext/>
      <w:keepLines/>
      <w:numPr>
        <w:numId w:val="13"/>
      </w:numPr>
      <w:tabs>
        <w:tab w:val="left" w:pos="360"/>
        <w:tab w:val="left" w:pos="450"/>
      </w:tabs>
      <w:autoSpaceDE w:val="0"/>
      <w:autoSpaceDN w:val="0"/>
      <w:adjustRightInd w:val="0"/>
      <w:spacing w:before="360" w:after="0" w:line="240" w:lineRule="auto"/>
      <w:ind w:left="360"/>
      <w:jc w:val="left"/>
      <w:outlineLvl w:val="0"/>
    </w:pPr>
    <w:rPr>
      <w:rFonts w:eastAsiaTheme="majorEastAsia" w:cstheme="majorBidi"/>
      <w:b/>
      <w:bCs/>
      <w:caps/>
      <w:color w:val="000000" w:themeColor="text1"/>
      <w:sz w:val="24"/>
      <w:szCs w:val="24"/>
      <w:lang w:val="en-GB" w:eastAsia="en-GB"/>
    </w:rPr>
  </w:style>
  <w:style w:type="paragraph" w:styleId="Heading2">
    <w:name w:val="heading 2"/>
    <w:basedOn w:val="Normal"/>
    <w:next w:val="Normal"/>
    <w:link w:val="Heading2Char"/>
    <w:autoRedefine/>
    <w:uiPriority w:val="9"/>
    <w:unhideWhenUsed/>
    <w:qFormat/>
    <w:rsid w:val="00D715F9"/>
    <w:pPr>
      <w:keepNext/>
      <w:keepLines/>
      <w:numPr>
        <w:ilvl w:val="1"/>
        <w:numId w:val="13"/>
      </w:numPr>
      <w:tabs>
        <w:tab w:val="left" w:pos="450"/>
      </w:tabs>
      <w:spacing w:after="0" w:line="240" w:lineRule="auto"/>
      <w:ind w:left="360"/>
      <w:outlineLvl w:val="1"/>
    </w:pPr>
    <w:rPr>
      <w:rFonts w:eastAsiaTheme="majorEastAsia" w:cstheme="majorBidi"/>
      <w:b/>
      <w:bCs/>
      <w:color w:val="000000" w:themeColor="text1"/>
      <w:sz w:val="24"/>
      <w:szCs w:val="24"/>
      <w:lang w:val="en-GB" w:eastAsia="en-GB" w:bidi="ar-JO"/>
    </w:rPr>
  </w:style>
  <w:style w:type="paragraph" w:styleId="Heading3">
    <w:name w:val="heading 3"/>
    <w:basedOn w:val="Normal"/>
    <w:next w:val="Normal"/>
    <w:link w:val="Heading3Char"/>
    <w:autoRedefine/>
    <w:uiPriority w:val="9"/>
    <w:qFormat/>
    <w:rsid w:val="0020388A"/>
    <w:pPr>
      <w:numPr>
        <w:ilvl w:val="2"/>
        <w:numId w:val="4"/>
      </w:numPr>
      <w:autoSpaceDE w:val="0"/>
      <w:autoSpaceDN w:val="0"/>
      <w:adjustRightInd w:val="0"/>
      <w:spacing w:before="120"/>
      <w:outlineLvl w:val="2"/>
    </w:pPr>
    <w:rPr>
      <w:rFonts w:ascii="Times New Roman Bold" w:hAnsi="Times New Roman Bold" w:cs="Courier New"/>
      <w:b/>
      <w:bCs/>
      <w:color w:val="000000"/>
      <w:szCs w:val="26"/>
      <w:lang w:val="en-GB" w:eastAsia="en-GB"/>
    </w:rPr>
  </w:style>
  <w:style w:type="paragraph" w:styleId="Heading4">
    <w:name w:val="heading 4"/>
    <w:basedOn w:val="Heading3"/>
    <w:next w:val="Normal"/>
    <w:link w:val="Heading4Char"/>
    <w:autoRedefine/>
    <w:uiPriority w:val="9"/>
    <w:unhideWhenUsed/>
    <w:qFormat/>
    <w:rsid w:val="0020388A"/>
    <w:pPr>
      <w:numPr>
        <w:ilvl w:val="3"/>
      </w:numPr>
      <w:spacing w:before="360" w:after="360" w:line="240" w:lineRule="auto"/>
      <w:outlineLvl w:val="3"/>
    </w:pPr>
    <w:rPr>
      <w:rFonts w:asciiTheme="majorBidi" w:hAnsiTheme="majorBidi" w:cstheme="majorBidi"/>
      <w:color w:val="000000" w:themeColor="text1"/>
      <w:szCs w:val="24"/>
    </w:rPr>
  </w:style>
  <w:style w:type="paragraph" w:styleId="Heading5">
    <w:name w:val="heading 5"/>
    <w:basedOn w:val="Normal"/>
    <w:next w:val="Normal"/>
    <w:link w:val="Heading5Char"/>
    <w:autoRedefine/>
    <w:uiPriority w:val="9"/>
    <w:unhideWhenUsed/>
    <w:qFormat/>
    <w:rsid w:val="0020388A"/>
    <w:pPr>
      <w:keepNext/>
      <w:keepLines/>
      <w:numPr>
        <w:ilvl w:val="4"/>
        <w:numId w:val="5"/>
      </w:numPr>
      <w:spacing w:before="360" w:after="360" w:line="240" w:lineRule="auto"/>
      <w:ind w:firstLine="0"/>
      <w:outlineLvl w:val="4"/>
    </w:pPr>
    <w:rPr>
      <w:rFonts w:eastAsiaTheme="majorEastAsia" w:cstheme="majorBidi"/>
      <w:b/>
      <w:lang w:val="en-GB" w:eastAsia="en-GB" w:bidi="ar-JO"/>
    </w:rPr>
  </w:style>
  <w:style w:type="paragraph" w:styleId="Heading6">
    <w:name w:val="heading 6"/>
    <w:basedOn w:val="Normal"/>
    <w:next w:val="Normal"/>
    <w:link w:val="Heading6Char"/>
    <w:autoRedefine/>
    <w:uiPriority w:val="9"/>
    <w:unhideWhenUsed/>
    <w:qFormat/>
    <w:rsid w:val="0020388A"/>
    <w:pPr>
      <w:keepNext/>
      <w:keepLines/>
      <w:numPr>
        <w:ilvl w:val="5"/>
        <w:numId w:val="4"/>
      </w:numPr>
      <w:spacing w:before="360" w:after="360" w:line="240" w:lineRule="auto"/>
      <w:outlineLvl w:val="5"/>
    </w:pPr>
    <w:rPr>
      <w:rFonts w:eastAsiaTheme="majorEastAsia" w:cstheme="majorBidi"/>
      <w:b/>
      <w:i/>
      <w:i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B7A"/>
    <w:rPr>
      <w:rFonts w:asciiTheme="majorBidi" w:eastAsiaTheme="majorEastAsia" w:hAnsiTheme="majorBidi" w:cstheme="majorBidi"/>
      <w:b/>
      <w:bCs/>
      <w:caps/>
      <w:color w:val="000000" w:themeColor="text1"/>
      <w:sz w:val="24"/>
      <w:szCs w:val="24"/>
      <w:lang w:val="en-GB" w:eastAsia="en-GB"/>
    </w:rPr>
  </w:style>
  <w:style w:type="character" w:customStyle="1" w:styleId="Heading2Char">
    <w:name w:val="Heading 2 Char"/>
    <w:basedOn w:val="DefaultParagraphFont"/>
    <w:link w:val="Heading2"/>
    <w:uiPriority w:val="9"/>
    <w:rsid w:val="00D715F9"/>
    <w:rPr>
      <w:rFonts w:asciiTheme="majorBidi" w:eastAsiaTheme="majorEastAsia" w:hAnsiTheme="majorBidi" w:cstheme="majorBidi"/>
      <w:b/>
      <w:bCs/>
      <w:color w:val="000000" w:themeColor="text1"/>
      <w:sz w:val="24"/>
      <w:szCs w:val="24"/>
      <w:lang w:val="en-GB" w:eastAsia="en-GB" w:bidi="ar-JO"/>
    </w:rPr>
  </w:style>
  <w:style w:type="character" w:customStyle="1" w:styleId="Heading3Char">
    <w:name w:val="Heading 3 Char"/>
    <w:basedOn w:val="DefaultParagraphFont"/>
    <w:link w:val="Heading3"/>
    <w:uiPriority w:val="9"/>
    <w:rsid w:val="0020388A"/>
    <w:rPr>
      <w:rFonts w:ascii="Times New Roman Bold" w:hAnsi="Times New Roman Bold" w:cs="Courier New"/>
      <w:b/>
      <w:bCs/>
      <w:color w:val="000000"/>
      <w:szCs w:val="26"/>
      <w:lang w:val="en-GB" w:eastAsia="en-GB"/>
    </w:rPr>
  </w:style>
  <w:style w:type="character" w:customStyle="1" w:styleId="Heading4Char">
    <w:name w:val="Heading 4 Char"/>
    <w:basedOn w:val="DefaultParagraphFont"/>
    <w:link w:val="Heading4"/>
    <w:uiPriority w:val="9"/>
    <w:rsid w:val="0020388A"/>
    <w:rPr>
      <w:rFonts w:asciiTheme="majorBidi" w:hAnsiTheme="majorBidi" w:cstheme="majorBidi"/>
      <w:b/>
      <w:bCs/>
      <w:color w:val="000000" w:themeColor="text1"/>
      <w:szCs w:val="24"/>
      <w:lang w:val="en-GB" w:eastAsia="en-GB"/>
    </w:rPr>
  </w:style>
  <w:style w:type="character" w:customStyle="1" w:styleId="Heading5Char">
    <w:name w:val="Heading 5 Char"/>
    <w:basedOn w:val="DefaultParagraphFont"/>
    <w:link w:val="Heading5"/>
    <w:uiPriority w:val="9"/>
    <w:rsid w:val="0020388A"/>
    <w:rPr>
      <w:rFonts w:asciiTheme="majorBidi" w:eastAsiaTheme="majorEastAsia" w:hAnsiTheme="majorBidi" w:cstheme="majorBidi"/>
      <w:b/>
      <w:lang w:val="en-GB" w:eastAsia="en-GB" w:bidi="ar-JO"/>
    </w:rPr>
  </w:style>
  <w:style w:type="character" w:customStyle="1" w:styleId="Heading6Char">
    <w:name w:val="Heading 6 Char"/>
    <w:basedOn w:val="DefaultParagraphFont"/>
    <w:link w:val="Heading6"/>
    <w:uiPriority w:val="9"/>
    <w:rsid w:val="0020388A"/>
    <w:rPr>
      <w:rFonts w:asciiTheme="majorBidi" w:eastAsiaTheme="majorEastAsia" w:hAnsiTheme="majorBidi" w:cstheme="majorBidi"/>
      <w:b/>
      <w:i/>
      <w:iCs/>
      <w:lang w:val="en-GB" w:eastAsia="en-GB"/>
    </w:rPr>
  </w:style>
  <w:style w:type="paragraph" w:styleId="Subtitle">
    <w:name w:val="Subtitle"/>
    <w:basedOn w:val="Normal"/>
    <w:next w:val="Normal"/>
    <w:link w:val="SubtitleChar"/>
    <w:autoRedefine/>
    <w:uiPriority w:val="11"/>
    <w:qFormat/>
    <w:rsid w:val="0020388A"/>
    <w:pPr>
      <w:numPr>
        <w:ilvl w:val="1"/>
      </w:numPr>
      <w:spacing w:after="160" w:line="240" w:lineRule="auto"/>
      <w:ind w:firstLine="720"/>
      <w:jc w:val="center"/>
    </w:pPr>
    <w:rPr>
      <w:rFonts w:eastAsiaTheme="minorEastAsia"/>
      <w:spacing w:val="15"/>
      <w:sz w:val="28"/>
    </w:rPr>
  </w:style>
  <w:style w:type="character" w:customStyle="1" w:styleId="SubtitleChar">
    <w:name w:val="Subtitle Char"/>
    <w:basedOn w:val="DefaultParagraphFont"/>
    <w:link w:val="Subtitle"/>
    <w:uiPriority w:val="11"/>
    <w:rsid w:val="0020388A"/>
    <w:rPr>
      <w:rFonts w:asciiTheme="majorBidi" w:eastAsiaTheme="minorEastAsia" w:hAnsiTheme="majorBidi"/>
      <w:spacing w:val="15"/>
      <w:sz w:val="28"/>
    </w:rPr>
  </w:style>
  <w:style w:type="paragraph" w:styleId="Caption">
    <w:name w:val="caption"/>
    <w:basedOn w:val="Normal"/>
    <w:next w:val="Normal"/>
    <w:uiPriority w:val="35"/>
    <w:unhideWhenUsed/>
    <w:qFormat/>
    <w:rsid w:val="0020388A"/>
    <w:pPr>
      <w:spacing w:after="0" w:line="240" w:lineRule="auto"/>
      <w:jc w:val="center"/>
    </w:pPr>
    <w:rPr>
      <w:iCs/>
      <w:szCs w:val="18"/>
    </w:rPr>
  </w:style>
  <w:style w:type="paragraph" w:styleId="TableofFigures">
    <w:name w:val="table of figures"/>
    <w:basedOn w:val="Normal"/>
    <w:next w:val="Normal"/>
    <w:autoRedefine/>
    <w:uiPriority w:val="99"/>
    <w:unhideWhenUsed/>
    <w:rsid w:val="0020388A"/>
    <w:pPr>
      <w:spacing w:after="0"/>
    </w:pPr>
  </w:style>
  <w:style w:type="paragraph" w:styleId="Title">
    <w:name w:val="Title"/>
    <w:basedOn w:val="Normal"/>
    <w:next w:val="Normal"/>
    <w:link w:val="TitleChar"/>
    <w:uiPriority w:val="10"/>
    <w:qFormat/>
    <w:rsid w:val="0020388A"/>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20388A"/>
    <w:rPr>
      <w:rFonts w:asciiTheme="majorBidi" w:eastAsiaTheme="majorEastAsia" w:hAnsiTheme="majorBidi" w:cstheme="majorBidi"/>
      <w:b/>
      <w:spacing w:val="-10"/>
      <w:kern w:val="28"/>
      <w:sz w:val="44"/>
      <w:szCs w:val="56"/>
    </w:rPr>
  </w:style>
  <w:style w:type="table" w:styleId="TableGrid">
    <w:name w:val="Table Grid"/>
    <w:basedOn w:val="TableNormal"/>
    <w:uiPriority w:val="3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TableNormal"/>
    <w:next w:val="TableGrid"/>
    <w:uiPriority w:val="5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88A"/>
    <w:pPr>
      <w:ind w:left="720"/>
      <w:contextualSpacing/>
    </w:pPr>
  </w:style>
  <w:style w:type="table" w:customStyle="1" w:styleId="TableGrid1">
    <w:name w:val="Table Grid1"/>
    <w:basedOn w:val="TableNormal"/>
    <w:next w:val="TableGrid"/>
    <w:uiPriority w:val="5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TableNormal"/>
    <w:next w:val="TableGrid"/>
    <w:uiPriority w:val="5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88A"/>
    <w:rPr>
      <w:rFonts w:asciiTheme="majorBidi" w:hAnsiTheme="majorBidi"/>
    </w:rPr>
  </w:style>
  <w:style w:type="paragraph" w:styleId="Footer">
    <w:name w:val="footer"/>
    <w:basedOn w:val="Normal"/>
    <w:link w:val="FooterChar"/>
    <w:uiPriority w:val="99"/>
    <w:unhideWhenUsed/>
    <w:rsid w:val="0020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88A"/>
    <w:rPr>
      <w:rFonts w:asciiTheme="majorBidi" w:hAnsiTheme="majorBidi"/>
    </w:rPr>
  </w:style>
  <w:style w:type="table" w:customStyle="1" w:styleId="TableGrid52112">
    <w:name w:val="Table Grid52112"/>
    <w:basedOn w:val="TableNormal"/>
    <w:next w:val="TableGrid"/>
    <w:uiPriority w:val="5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0388A"/>
    <w:rPr>
      <w:rFonts w:ascii="Tahoma" w:hAnsi="Tahoma" w:cs="Tahoma"/>
      <w:sz w:val="16"/>
      <w:szCs w:val="16"/>
      <w:lang w:val="en-CA"/>
    </w:rPr>
  </w:style>
  <w:style w:type="paragraph" w:styleId="BalloonText">
    <w:name w:val="Balloon Text"/>
    <w:basedOn w:val="Normal"/>
    <w:link w:val="BalloonTextChar"/>
    <w:uiPriority w:val="99"/>
    <w:semiHidden/>
    <w:unhideWhenUsed/>
    <w:rsid w:val="0020388A"/>
    <w:pPr>
      <w:spacing w:after="0" w:line="240" w:lineRule="auto"/>
      <w:jc w:val="left"/>
    </w:pPr>
    <w:rPr>
      <w:rFonts w:ascii="Tahoma" w:hAnsi="Tahoma" w:cs="Tahoma"/>
      <w:sz w:val="16"/>
      <w:szCs w:val="16"/>
      <w:lang w:val="en-CA"/>
    </w:rPr>
  </w:style>
  <w:style w:type="character" w:customStyle="1" w:styleId="BalloonTextChar1">
    <w:name w:val="Balloon Text Char1"/>
    <w:basedOn w:val="DefaultParagraphFont"/>
    <w:uiPriority w:val="99"/>
    <w:semiHidden/>
    <w:rsid w:val="0020388A"/>
    <w:rPr>
      <w:rFonts w:ascii="Segoe UI" w:hAnsi="Segoe UI" w:cs="Segoe UI"/>
      <w:sz w:val="18"/>
      <w:szCs w:val="18"/>
    </w:rPr>
  </w:style>
  <w:style w:type="paragraph" w:customStyle="1" w:styleId="Default">
    <w:name w:val="Default"/>
    <w:rsid w:val="0020388A"/>
    <w:pPr>
      <w:autoSpaceDE w:val="0"/>
      <w:autoSpaceDN w:val="0"/>
      <w:adjustRightInd w:val="0"/>
      <w:spacing w:after="0" w:line="240" w:lineRule="auto"/>
    </w:pPr>
    <w:rPr>
      <w:rFonts w:ascii="Times New Roman" w:hAnsi="Times New Roman" w:cs="Times New Roman"/>
      <w:color w:val="000000"/>
      <w:sz w:val="24"/>
      <w:szCs w:val="24"/>
      <w:lang w:val="en-CA"/>
    </w:rPr>
  </w:style>
  <w:style w:type="character" w:customStyle="1" w:styleId="apple-converted-space">
    <w:name w:val="apple-converted-space"/>
    <w:basedOn w:val="DefaultParagraphFont"/>
    <w:rsid w:val="0020388A"/>
  </w:style>
  <w:style w:type="character" w:styleId="Hyperlink">
    <w:name w:val="Hyperlink"/>
    <w:basedOn w:val="DefaultParagraphFont"/>
    <w:uiPriority w:val="99"/>
    <w:unhideWhenUsed/>
    <w:rsid w:val="0020388A"/>
    <w:rPr>
      <w:color w:val="0000FF"/>
      <w:u w:val="single"/>
    </w:rPr>
  </w:style>
  <w:style w:type="character" w:customStyle="1" w:styleId="CommentTextChar">
    <w:name w:val="Comment Text Char"/>
    <w:basedOn w:val="DefaultParagraphFont"/>
    <w:link w:val="CommentText"/>
    <w:uiPriority w:val="99"/>
    <w:semiHidden/>
    <w:rsid w:val="0020388A"/>
    <w:rPr>
      <w:sz w:val="20"/>
      <w:szCs w:val="20"/>
      <w:lang w:val="en-CA"/>
    </w:rPr>
  </w:style>
  <w:style w:type="paragraph" w:styleId="CommentText">
    <w:name w:val="annotation text"/>
    <w:basedOn w:val="Normal"/>
    <w:link w:val="CommentTextChar"/>
    <w:uiPriority w:val="99"/>
    <w:semiHidden/>
    <w:unhideWhenUsed/>
    <w:rsid w:val="0020388A"/>
    <w:pPr>
      <w:spacing w:after="200" w:line="240" w:lineRule="auto"/>
      <w:jc w:val="left"/>
    </w:pPr>
    <w:rPr>
      <w:rFonts w:asciiTheme="minorHAnsi" w:hAnsiTheme="minorHAnsi"/>
      <w:sz w:val="20"/>
      <w:szCs w:val="20"/>
      <w:lang w:val="en-CA"/>
    </w:rPr>
  </w:style>
  <w:style w:type="character" w:customStyle="1" w:styleId="CommentTextChar1">
    <w:name w:val="Comment Text Char1"/>
    <w:basedOn w:val="DefaultParagraphFont"/>
    <w:uiPriority w:val="99"/>
    <w:semiHidden/>
    <w:rsid w:val="0020388A"/>
    <w:rPr>
      <w:rFonts w:asciiTheme="majorBidi" w:hAnsiTheme="majorBidi"/>
      <w:sz w:val="20"/>
      <w:szCs w:val="20"/>
    </w:rPr>
  </w:style>
  <w:style w:type="character" w:customStyle="1" w:styleId="CommentSubjectChar">
    <w:name w:val="Comment Subject Char"/>
    <w:basedOn w:val="CommentTextChar"/>
    <w:link w:val="CommentSubject"/>
    <w:uiPriority w:val="99"/>
    <w:semiHidden/>
    <w:rsid w:val="0020388A"/>
    <w:rPr>
      <w:b/>
      <w:bCs/>
      <w:sz w:val="20"/>
      <w:szCs w:val="20"/>
      <w:lang w:val="en-CA"/>
    </w:rPr>
  </w:style>
  <w:style w:type="paragraph" w:styleId="CommentSubject">
    <w:name w:val="annotation subject"/>
    <w:basedOn w:val="CommentText"/>
    <w:next w:val="CommentText"/>
    <w:link w:val="CommentSubjectChar"/>
    <w:uiPriority w:val="99"/>
    <w:semiHidden/>
    <w:unhideWhenUsed/>
    <w:rsid w:val="0020388A"/>
    <w:rPr>
      <w:b/>
      <w:bCs/>
    </w:rPr>
  </w:style>
  <w:style w:type="character" w:customStyle="1" w:styleId="CommentSubjectChar1">
    <w:name w:val="Comment Subject Char1"/>
    <w:basedOn w:val="CommentTextChar1"/>
    <w:uiPriority w:val="99"/>
    <w:semiHidden/>
    <w:rsid w:val="0020388A"/>
    <w:rPr>
      <w:rFonts w:asciiTheme="majorBidi" w:hAnsiTheme="majorBidi"/>
      <w:b/>
      <w:bCs/>
      <w:sz w:val="20"/>
      <w:szCs w:val="20"/>
    </w:rPr>
  </w:style>
  <w:style w:type="paragraph" w:styleId="BodyText">
    <w:name w:val="Body Text"/>
    <w:basedOn w:val="Normal"/>
    <w:link w:val="BodyTextChar"/>
    <w:uiPriority w:val="99"/>
    <w:unhideWhenUsed/>
    <w:rsid w:val="0020388A"/>
    <w:pPr>
      <w:spacing w:line="259" w:lineRule="auto"/>
      <w:jc w:val="left"/>
    </w:pPr>
    <w:rPr>
      <w:rFonts w:asciiTheme="minorHAnsi" w:hAnsiTheme="minorHAnsi"/>
    </w:rPr>
  </w:style>
  <w:style w:type="character" w:customStyle="1" w:styleId="BodyTextChar">
    <w:name w:val="Body Text Char"/>
    <w:basedOn w:val="DefaultParagraphFont"/>
    <w:link w:val="BodyText"/>
    <w:uiPriority w:val="99"/>
    <w:rsid w:val="0020388A"/>
  </w:style>
  <w:style w:type="character" w:styleId="CommentReference">
    <w:name w:val="annotation reference"/>
    <w:basedOn w:val="DefaultParagraphFont"/>
    <w:uiPriority w:val="99"/>
    <w:semiHidden/>
    <w:unhideWhenUsed/>
    <w:rsid w:val="00F82C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_zeebare@yahoo.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Tel:+60139316438" TargetMode="External"/><Relationship Id="rId4" Type="http://schemas.openxmlformats.org/officeDocument/2006/relationships/settings" Target="settings.xml"/><Relationship Id="rId9" Type="http://schemas.openxmlformats.org/officeDocument/2006/relationships/hyperlink" Target="mailto:Rusinah@uniten.edu.m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E3A5-2E88-48C4-A1E7-F02EA73D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17</Pages>
  <Words>25722</Words>
  <Characters>146618</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Rasheed Yaseen</dc:creator>
  <cp:keywords/>
  <dc:description/>
  <cp:lastModifiedBy>Mohammed Rasheed Yaseen</cp:lastModifiedBy>
  <cp:revision>28</cp:revision>
  <cp:lastPrinted>2016-09-14T02:32:00Z</cp:lastPrinted>
  <dcterms:created xsi:type="dcterms:W3CDTF">2016-09-09T07:56:00Z</dcterms:created>
  <dcterms:modified xsi:type="dcterms:W3CDTF">2016-09-14T08:46:00Z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b0d77576-9e8e-3623-bc43-b4c6d256cbe6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