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0DF" w:rsidRPr="00076302" w:rsidRDefault="00DB60DF" w:rsidP="00DB60DF">
      <w:pPr>
        <w:pStyle w:val="TNR"/>
        <w:spacing w:line="240" w:lineRule="auto"/>
        <w:ind w:firstLine="0"/>
        <w:jc w:val="center"/>
        <w:rPr>
          <w:b/>
          <w:szCs w:val="22"/>
          <w:lang w:val="en-GB"/>
        </w:rPr>
      </w:pPr>
      <w:r w:rsidRPr="00076302">
        <w:rPr>
          <w:b/>
          <w:szCs w:val="22"/>
          <w:lang w:val="en-GB"/>
        </w:rPr>
        <w:t xml:space="preserve">Specifics in </w:t>
      </w:r>
      <w:proofErr w:type="spellStart"/>
      <w:r w:rsidRPr="00076302">
        <w:rPr>
          <w:b/>
          <w:szCs w:val="22"/>
          <w:lang w:val="en-GB"/>
        </w:rPr>
        <w:t>Modeling</w:t>
      </w:r>
      <w:proofErr w:type="spellEnd"/>
      <w:r w:rsidRPr="00076302">
        <w:rPr>
          <w:b/>
          <w:szCs w:val="22"/>
          <w:lang w:val="en-GB"/>
        </w:rPr>
        <w:t xml:space="preserve"> of Energy Efficient Production in Agribusiness</w:t>
      </w:r>
    </w:p>
    <w:p w:rsidR="00DB60DF" w:rsidRDefault="00DB60DF" w:rsidP="00DB60DF">
      <w:pPr>
        <w:pStyle w:val="TNR"/>
        <w:spacing w:line="240" w:lineRule="auto"/>
        <w:rPr>
          <w:sz w:val="22"/>
          <w:szCs w:val="22"/>
          <w:lang w:val="en-GB"/>
        </w:rPr>
      </w:pPr>
    </w:p>
    <w:p w:rsidR="00DB60DF" w:rsidRDefault="00DB60DF" w:rsidP="00DB60DF">
      <w:pPr>
        <w:pStyle w:val="TNR"/>
        <w:spacing w:line="240" w:lineRule="auto"/>
        <w:ind w:firstLine="0"/>
        <w:jc w:val="center"/>
        <w:rPr>
          <w:b/>
          <w:sz w:val="22"/>
          <w:szCs w:val="22"/>
          <w:lang w:val="en-GB"/>
        </w:rPr>
      </w:pPr>
      <w:r>
        <w:rPr>
          <w:b/>
          <w:sz w:val="22"/>
          <w:szCs w:val="22"/>
          <w:lang w:val="en-GB"/>
        </w:rPr>
        <w:t xml:space="preserve"> </w:t>
      </w:r>
    </w:p>
    <w:p w:rsidR="00DB60DF" w:rsidRPr="0023395C" w:rsidRDefault="00DB60DF" w:rsidP="00DB60DF">
      <w:pPr>
        <w:pStyle w:val="TNR"/>
        <w:spacing w:line="240" w:lineRule="auto"/>
        <w:ind w:firstLine="0"/>
        <w:jc w:val="center"/>
        <w:rPr>
          <w:b/>
          <w:sz w:val="22"/>
          <w:szCs w:val="22"/>
          <w:lang w:val="en-GB"/>
        </w:rPr>
      </w:pPr>
      <w:proofErr w:type="spellStart"/>
      <w:r w:rsidRPr="00E95480">
        <w:rPr>
          <w:b/>
          <w:sz w:val="22"/>
          <w:szCs w:val="22"/>
          <w:lang w:val="en-GB"/>
        </w:rPr>
        <w:t>Georgi</w:t>
      </w:r>
      <w:proofErr w:type="spellEnd"/>
      <w:r w:rsidRPr="00E95480">
        <w:rPr>
          <w:b/>
          <w:sz w:val="22"/>
          <w:szCs w:val="22"/>
          <w:lang w:val="en-GB"/>
        </w:rPr>
        <w:t xml:space="preserve"> N. </w:t>
      </w:r>
      <w:proofErr w:type="spellStart"/>
      <w:r w:rsidRPr="00E95480">
        <w:rPr>
          <w:b/>
          <w:sz w:val="22"/>
          <w:szCs w:val="22"/>
          <w:lang w:val="en-GB"/>
        </w:rPr>
        <w:t>Todorov</w:t>
      </w:r>
      <w:proofErr w:type="spellEnd"/>
      <w:r w:rsidRPr="005006EB">
        <w:rPr>
          <w:b/>
          <w:sz w:val="22"/>
          <w:szCs w:val="22"/>
          <w:lang w:val="en-US"/>
        </w:rPr>
        <w:t xml:space="preserve"> </w:t>
      </w:r>
      <w:r w:rsidRPr="00E95480">
        <w:rPr>
          <w:b/>
          <w:sz w:val="22"/>
          <w:szCs w:val="22"/>
          <w:vertAlign w:val="superscript"/>
          <w:lang w:val="en-GB"/>
        </w:rPr>
        <w:t>1*</w:t>
      </w:r>
      <w:r w:rsidRPr="00E95480">
        <w:rPr>
          <w:b/>
          <w:sz w:val="22"/>
          <w:szCs w:val="22"/>
          <w:lang w:val="en-GB"/>
        </w:rPr>
        <w:t>,</w:t>
      </w:r>
      <w:r w:rsidRPr="005006EB">
        <w:rPr>
          <w:lang w:val="en-US"/>
        </w:rPr>
        <w:t xml:space="preserve"> </w:t>
      </w:r>
      <w:r w:rsidRPr="005006EB">
        <w:rPr>
          <w:b/>
          <w:sz w:val="22"/>
          <w:szCs w:val="22"/>
          <w:lang w:val="en-GB"/>
        </w:rPr>
        <w:t xml:space="preserve">Oleg </w:t>
      </w:r>
      <w:r>
        <w:rPr>
          <w:b/>
          <w:sz w:val="22"/>
          <w:szCs w:val="22"/>
          <w:lang w:val="en-US"/>
        </w:rPr>
        <w:t xml:space="preserve">M. </w:t>
      </w:r>
      <w:proofErr w:type="spellStart"/>
      <w:r w:rsidRPr="005006EB">
        <w:rPr>
          <w:b/>
          <w:sz w:val="22"/>
          <w:szCs w:val="22"/>
          <w:lang w:val="en-GB"/>
        </w:rPr>
        <w:t>Barbakov</w:t>
      </w:r>
      <w:proofErr w:type="spellEnd"/>
      <w:r>
        <w:rPr>
          <w:b/>
          <w:sz w:val="22"/>
          <w:szCs w:val="22"/>
          <w:lang w:val="en-GB"/>
        </w:rPr>
        <w:t xml:space="preserve"> </w:t>
      </w:r>
      <w:r w:rsidRPr="005006EB">
        <w:rPr>
          <w:b/>
          <w:sz w:val="22"/>
          <w:szCs w:val="22"/>
          <w:vertAlign w:val="superscript"/>
          <w:lang w:val="en-GB"/>
        </w:rPr>
        <w:t>2</w:t>
      </w:r>
      <w:r w:rsidRPr="005006EB">
        <w:rPr>
          <w:b/>
          <w:sz w:val="22"/>
          <w:szCs w:val="22"/>
          <w:lang w:val="en-GB"/>
        </w:rPr>
        <w:t>,</w:t>
      </w:r>
      <w:r w:rsidRPr="00E62BFF">
        <w:rPr>
          <w:b/>
          <w:sz w:val="22"/>
          <w:szCs w:val="22"/>
          <w:lang w:val="en-GB"/>
        </w:rPr>
        <w:t xml:space="preserve"> Natalya I</w:t>
      </w:r>
      <w:r w:rsidRPr="00E62BFF">
        <w:rPr>
          <w:b/>
          <w:sz w:val="22"/>
          <w:szCs w:val="22"/>
          <w:lang w:val="en-US"/>
        </w:rPr>
        <w:t xml:space="preserve">. </w:t>
      </w:r>
      <w:r w:rsidRPr="00E62BFF">
        <w:rPr>
          <w:b/>
          <w:sz w:val="22"/>
          <w:szCs w:val="22"/>
          <w:lang w:val="en-GB"/>
        </w:rPr>
        <w:t>Nikitina</w:t>
      </w:r>
      <w:r>
        <w:rPr>
          <w:b/>
          <w:sz w:val="22"/>
          <w:szCs w:val="22"/>
          <w:lang w:val="en-GB"/>
        </w:rPr>
        <w:t xml:space="preserve"> </w:t>
      </w:r>
      <w:r w:rsidRPr="00E62BFF">
        <w:rPr>
          <w:b/>
          <w:sz w:val="22"/>
          <w:szCs w:val="22"/>
          <w:vertAlign w:val="superscript"/>
          <w:lang w:val="en-GB"/>
        </w:rPr>
        <w:t>3</w:t>
      </w:r>
      <w:r>
        <w:rPr>
          <w:b/>
          <w:sz w:val="22"/>
          <w:szCs w:val="22"/>
          <w:lang w:val="en-GB"/>
        </w:rPr>
        <w:t xml:space="preserve">, </w:t>
      </w:r>
      <w:r w:rsidRPr="0023395C">
        <w:rPr>
          <w:b/>
          <w:sz w:val="22"/>
          <w:szCs w:val="22"/>
          <w:lang w:val="en-GB"/>
        </w:rPr>
        <w:t xml:space="preserve">Veronica Yu. </w:t>
      </w:r>
      <w:proofErr w:type="spellStart"/>
      <w:r w:rsidRPr="0023395C">
        <w:rPr>
          <w:b/>
          <w:sz w:val="22"/>
          <w:szCs w:val="22"/>
          <w:lang w:val="en-GB"/>
        </w:rPr>
        <w:t>Chernova</w:t>
      </w:r>
      <w:proofErr w:type="spellEnd"/>
      <w:r w:rsidRPr="0023395C">
        <w:rPr>
          <w:b/>
          <w:sz w:val="22"/>
          <w:szCs w:val="22"/>
          <w:vertAlign w:val="superscript"/>
          <w:lang w:val="en-GB"/>
        </w:rPr>
        <w:t xml:space="preserve"> 4</w:t>
      </w:r>
    </w:p>
    <w:p w:rsidR="00DB60DF" w:rsidRDefault="00DB60DF" w:rsidP="00DB60DF">
      <w:pPr>
        <w:pStyle w:val="TNR"/>
        <w:spacing w:line="240" w:lineRule="auto"/>
        <w:ind w:firstLine="0"/>
        <w:rPr>
          <w:sz w:val="22"/>
          <w:szCs w:val="22"/>
          <w:lang w:val="en-GB"/>
        </w:rPr>
      </w:pPr>
    </w:p>
    <w:p w:rsidR="00DB60DF" w:rsidRPr="003E06C0" w:rsidRDefault="00DB60DF" w:rsidP="00DB60DF">
      <w:pPr>
        <w:pStyle w:val="TNR"/>
        <w:spacing w:line="240" w:lineRule="auto"/>
        <w:ind w:firstLine="0"/>
        <w:jc w:val="left"/>
        <w:rPr>
          <w:i/>
          <w:sz w:val="22"/>
          <w:szCs w:val="22"/>
          <w:lang w:val="en-GB"/>
        </w:rPr>
      </w:pPr>
      <w:proofErr w:type="gramStart"/>
      <w:r w:rsidRPr="00E50368">
        <w:rPr>
          <w:sz w:val="22"/>
          <w:szCs w:val="22"/>
          <w:vertAlign w:val="superscript"/>
          <w:lang w:val="en-US"/>
        </w:rPr>
        <w:t>1</w:t>
      </w:r>
      <w:proofErr w:type="gramEnd"/>
      <w:r w:rsidRPr="003E06C0">
        <w:rPr>
          <w:i/>
          <w:sz w:val="22"/>
          <w:szCs w:val="22"/>
          <w:lang w:val="en-US"/>
        </w:rPr>
        <w:t xml:space="preserve"> </w:t>
      </w:r>
      <w:r w:rsidRPr="003E06C0">
        <w:rPr>
          <w:i/>
          <w:sz w:val="22"/>
          <w:szCs w:val="22"/>
          <w:lang w:val="en-GB"/>
        </w:rPr>
        <w:t xml:space="preserve">Varna Scientific Institute of the Eastern European Commonwealth – </w:t>
      </w:r>
      <w:proofErr w:type="spellStart"/>
      <w:r w:rsidRPr="003E06C0">
        <w:rPr>
          <w:i/>
          <w:sz w:val="22"/>
          <w:szCs w:val="22"/>
          <w:lang w:val="en-GB"/>
        </w:rPr>
        <w:t>VSIEEC</w:t>
      </w:r>
      <w:proofErr w:type="spellEnd"/>
      <w:r w:rsidRPr="003E06C0">
        <w:rPr>
          <w:i/>
          <w:sz w:val="22"/>
          <w:szCs w:val="22"/>
          <w:lang w:val="en-US"/>
        </w:rPr>
        <w:t xml:space="preserve">, </w:t>
      </w:r>
      <w:proofErr w:type="spellStart"/>
      <w:r w:rsidRPr="003E06C0">
        <w:rPr>
          <w:i/>
          <w:sz w:val="22"/>
          <w:szCs w:val="22"/>
          <w:lang w:val="en-GB"/>
        </w:rPr>
        <w:t>Slivnitsa</w:t>
      </w:r>
      <w:proofErr w:type="spellEnd"/>
      <w:r w:rsidRPr="003E06C0">
        <w:rPr>
          <w:i/>
          <w:sz w:val="22"/>
          <w:szCs w:val="22"/>
          <w:lang w:val="en-GB"/>
        </w:rPr>
        <w:t xml:space="preserve"> Blvd, 9009, Varna, Bulgaria.</w:t>
      </w:r>
    </w:p>
    <w:p w:rsidR="00DB60DF" w:rsidRPr="003E06C0" w:rsidRDefault="00DB60DF" w:rsidP="00DB60DF">
      <w:pPr>
        <w:pStyle w:val="TNR"/>
        <w:spacing w:line="240" w:lineRule="auto"/>
        <w:ind w:firstLine="0"/>
        <w:rPr>
          <w:i/>
          <w:sz w:val="22"/>
          <w:szCs w:val="22"/>
          <w:lang w:val="en-US"/>
        </w:rPr>
      </w:pPr>
      <w:proofErr w:type="gramStart"/>
      <w:r w:rsidRPr="00E50368">
        <w:rPr>
          <w:sz w:val="22"/>
          <w:szCs w:val="22"/>
          <w:vertAlign w:val="superscript"/>
          <w:lang w:val="en-US"/>
        </w:rPr>
        <w:t>2</w:t>
      </w:r>
      <w:proofErr w:type="gramEnd"/>
      <w:r w:rsidRPr="00E50368">
        <w:rPr>
          <w:sz w:val="22"/>
          <w:szCs w:val="22"/>
          <w:lang w:val="en-US"/>
        </w:rPr>
        <w:t xml:space="preserve"> </w:t>
      </w:r>
      <w:r w:rsidRPr="003E06C0">
        <w:rPr>
          <w:i/>
          <w:sz w:val="22"/>
          <w:szCs w:val="22"/>
          <w:lang w:val="en-GB"/>
        </w:rPr>
        <w:t>Tyumen Industrial University</w:t>
      </w:r>
      <w:r w:rsidRPr="003E06C0">
        <w:rPr>
          <w:i/>
          <w:sz w:val="22"/>
          <w:szCs w:val="22"/>
          <w:lang w:val="en-US"/>
        </w:rPr>
        <w:t xml:space="preserve">, </w:t>
      </w:r>
      <w:r w:rsidRPr="003E06C0">
        <w:rPr>
          <w:i/>
          <w:sz w:val="22"/>
          <w:szCs w:val="22"/>
          <w:lang w:val="en-GB"/>
        </w:rPr>
        <w:t xml:space="preserve">38, </w:t>
      </w:r>
      <w:proofErr w:type="spellStart"/>
      <w:r w:rsidRPr="003E06C0">
        <w:rPr>
          <w:i/>
          <w:sz w:val="22"/>
          <w:szCs w:val="22"/>
          <w:lang w:val="en-GB"/>
        </w:rPr>
        <w:t>Volodarskogo</w:t>
      </w:r>
      <w:proofErr w:type="spellEnd"/>
      <w:r w:rsidRPr="003E06C0">
        <w:rPr>
          <w:i/>
          <w:sz w:val="22"/>
          <w:szCs w:val="22"/>
          <w:lang w:val="en-GB"/>
        </w:rPr>
        <w:t xml:space="preserve"> Str., 625000, Tyumen, Russian</w:t>
      </w:r>
      <w:r w:rsidRPr="003E06C0">
        <w:rPr>
          <w:i/>
          <w:sz w:val="22"/>
          <w:szCs w:val="22"/>
          <w:lang w:val="en-US"/>
        </w:rPr>
        <w:t xml:space="preserve">. </w:t>
      </w:r>
    </w:p>
    <w:p w:rsidR="00DB60DF" w:rsidRDefault="00DB60DF" w:rsidP="00DB60DF">
      <w:pPr>
        <w:pStyle w:val="TNR"/>
        <w:spacing w:line="240" w:lineRule="auto"/>
        <w:ind w:firstLine="0"/>
        <w:rPr>
          <w:i/>
          <w:sz w:val="22"/>
          <w:szCs w:val="22"/>
          <w:lang w:val="en-US"/>
        </w:rPr>
      </w:pPr>
      <w:proofErr w:type="gramStart"/>
      <w:r w:rsidRPr="00E62BFF">
        <w:rPr>
          <w:sz w:val="22"/>
          <w:szCs w:val="22"/>
          <w:vertAlign w:val="superscript"/>
          <w:lang w:val="en-US"/>
        </w:rPr>
        <w:t>3</w:t>
      </w:r>
      <w:proofErr w:type="gramEnd"/>
      <w:r>
        <w:rPr>
          <w:i/>
          <w:sz w:val="22"/>
          <w:szCs w:val="22"/>
          <w:lang w:val="en-US"/>
        </w:rPr>
        <w:t xml:space="preserve"> </w:t>
      </w:r>
      <w:r w:rsidRPr="00E62BFF">
        <w:rPr>
          <w:i/>
          <w:sz w:val="22"/>
          <w:szCs w:val="22"/>
          <w:lang w:val="en-US"/>
        </w:rPr>
        <w:t xml:space="preserve">Russian State Social University, 4/1, </w:t>
      </w:r>
      <w:proofErr w:type="spellStart"/>
      <w:r w:rsidRPr="00E62BFF">
        <w:rPr>
          <w:i/>
          <w:sz w:val="22"/>
          <w:szCs w:val="22"/>
          <w:lang w:val="en-US"/>
        </w:rPr>
        <w:t>Vil'gel'ma</w:t>
      </w:r>
      <w:proofErr w:type="spellEnd"/>
      <w:r w:rsidRPr="00E62BFF">
        <w:rPr>
          <w:i/>
          <w:sz w:val="22"/>
          <w:szCs w:val="22"/>
          <w:lang w:val="en-US"/>
        </w:rPr>
        <w:t xml:space="preserve"> </w:t>
      </w:r>
      <w:proofErr w:type="spellStart"/>
      <w:r w:rsidRPr="00E62BFF">
        <w:rPr>
          <w:i/>
          <w:sz w:val="22"/>
          <w:szCs w:val="22"/>
          <w:lang w:val="en-US"/>
        </w:rPr>
        <w:t>Pika</w:t>
      </w:r>
      <w:proofErr w:type="spellEnd"/>
      <w:r w:rsidRPr="00E62BFF">
        <w:rPr>
          <w:i/>
          <w:sz w:val="22"/>
          <w:szCs w:val="22"/>
          <w:lang w:val="en-US"/>
        </w:rPr>
        <w:t xml:space="preserve"> Str., Moscow, 129226, Russian</w:t>
      </w:r>
      <w:r>
        <w:rPr>
          <w:i/>
          <w:sz w:val="22"/>
          <w:szCs w:val="22"/>
          <w:lang w:val="en-US"/>
        </w:rPr>
        <w:t>.</w:t>
      </w:r>
    </w:p>
    <w:p w:rsidR="00DB60DF" w:rsidRDefault="00DB60DF" w:rsidP="00DB60DF">
      <w:pPr>
        <w:pStyle w:val="TNR"/>
        <w:spacing w:line="240" w:lineRule="auto"/>
        <w:ind w:firstLine="0"/>
        <w:rPr>
          <w:i/>
          <w:sz w:val="22"/>
          <w:szCs w:val="22"/>
          <w:lang w:val="en-US"/>
        </w:rPr>
      </w:pPr>
      <w:proofErr w:type="gramStart"/>
      <w:r w:rsidRPr="0023395C">
        <w:rPr>
          <w:sz w:val="22"/>
          <w:szCs w:val="22"/>
          <w:vertAlign w:val="superscript"/>
          <w:lang w:val="en-US"/>
        </w:rPr>
        <w:t>4</w:t>
      </w:r>
      <w:proofErr w:type="gramEnd"/>
      <w:r>
        <w:rPr>
          <w:i/>
          <w:sz w:val="22"/>
          <w:szCs w:val="22"/>
          <w:lang w:val="en-US"/>
        </w:rPr>
        <w:t xml:space="preserve"> </w:t>
      </w:r>
      <w:r w:rsidRPr="0023395C">
        <w:rPr>
          <w:i/>
          <w:sz w:val="22"/>
          <w:szCs w:val="22"/>
          <w:lang w:val="en-US"/>
        </w:rPr>
        <w:t xml:space="preserve">Peoples' Friendship University of Russia, 6, </w:t>
      </w:r>
      <w:proofErr w:type="spellStart"/>
      <w:r w:rsidRPr="0023395C">
        <w:rPr>
          <w:i/>
          <w:sz w:val="22"/>
          <w:szCs w:val="22"/>
          <w:lang w:val="en-US"/>
        </w:rPr>
        <w:t>Miklukho-Maklaya</w:t>
      </w:r>
      <w:proofErr w:type="spellEnd"/>
      <w:r w:rsidRPr="0023395C">
        <w:rPr>
          <w:i/>
          <w:sz w:val="22"/>
          <w:szCs w:val="22"/>
          <w:lang w:val="en-US"/>
        </w:rPr>
        <w:t xml:space="preserve"> Str., Moscow, 117198, Russian.</w:t>
      </w:r>
    </w:p>
    <w:p w:rsidR="00DB60DF" w:rsidRPr="003E06C0" w:rsidRDefault="00DB60DF" w:rsidP="00DB60DF">
      <w:pPr>
        <w:pStyle w:val="TNR"/>
        <w:spacing w:line="240" w:lineRule="auto"/>
        <w:ind w:firstLine="0"/>
        <w:rPr>
          <w:i/>
          <w:sz w:val="22"/>
          <w:szCs w:val="22"/>
          <w:lang w:val="en-US"/>
        </w:rPr>
      </w:pPr>
    </w:p>
    <w:p w:rsidR="00DB60DF" w:rsidRPr="003E06C0" w:rsidRDefault="00DB60DF" w:rsidP="00DB60DF">
      <w:pPr>
        <w:pStyle w:val="TNR"/>
        <w:spacing w:line="240" w:lineRule="auto"/>
        <w:ind w:firstLine="0"/>
        <w:rPr>
          <w:i/>
          <w:sz w:val="22"/>
          <w:szCs w:val="22"/>
          <w:lang w:val="en-GB"/>
        </w:rPr>
      </w:pPr>
      <w:r w:rsidRPr="003E06C0">
        <w:rPr>
          <w:i/>
          <w:sz w:val="22"/>
          <w:szCs w:val="22"/>
          <w:lang w:val="en-GB"/>
        </w:rPr>
        <w:t>*Email: todorov.g@protonmail.com</w:t>
      </w:r>
    </w:p>
    <w:p w:rsidR="00DB60DF" w:rsidRPr="00410DAC" w:rsidRDefault="00DB60DF" w:rsidP="00DB60DF">
      <w:pPr>
        <w:pStyle w:val="TNR"/>
        <w:spacing w:line="240" w:lineRule="auto"/>
        <w:rPr>
          <w:sz w:val="22"/>
          <w:szCs w:val="22"/>
          <w:lang w:val="en-GB"/>
        </w:rPr>
      </w:pPr>
    </w:p>
    <w:p w:rsidR="00DB60DF" w:rsidRPr="00410DAC" w:rsidRDefault="00DB60DF" w:rsidP="00DB60DF">
      <w:pPr>
        <w:pStyle w:val="TNR"/>
        <w:spacing w:line="240" w:lineRule="auto"/>
        <w:ind w:firstLine="0"/>
        <w:outlineLvl w:val="0"/>
        <w:rPr>
          <w:b/>
          <w:sz w:val="22"/>
          <w:szCs w:val="22"/>
          <w:lang w:val="en-GB"/>
        </w:rPr>
      </w:pPr>
      <w:r w:rsidRPr="00410DAC">
        <w:rPr>
          <w:b/>
          <w:sz w:val="22"/>
          <w:szCs w:val="22"/>
          <w:lang w:val="en-GB"/>
        </w:rPr>
        <w:t xml:space="preserve">Abstract </w:t>
      </w:r>
    </w:p>
    <w:p w:rsidR="00DB60DF" w:rsidRPr="00410DAC" w:rsidRDefault="00DB60DF" w:rsidP="00DB60DF">
      <w:pPr>
        <w:pStyle w:val="TNR"/>
        <w:spacing w:line="240" w:lineRule="auto"/>
        <w:ind w:firstLine="0"/>
        <w:rPr>
          <w:sz w:val="22"/>
          <w:szCs w:val="22"/>
          <w:lang w:val="en-GB"/>
        </w:rPr>
      </w:pPr>
      <w:r w:rsidRPr="00410DAC">
        <w:rPr>
          <w:sz w:val="22"/>
          <w:szCs w:val="22"/>
          <w:lang w:val="en-GB"/>
        </w:rPr>
        <w:t xml:space="preserve">A resource potential in agribusiness is a roundup indicator of resource availability. Its assessment and efficiently used resources govern a level of competitiveness of farm products among enterprises that have various operating practices. Power industry is a significant component of the resource potential. Greenhouses that operate in unfavourable natural and climatic conditions are an indicative example in this field. The study of practices that Russian agribusiness has will make it possible to identify strong component dependencies and challenges that businesspeople face when they introduce energy-saving solutions. Having reviewed corresponding sources, authors conclude that robust control aims at corrections to </w:t>
      </w:r>
      <w:proofErr w:type="gramStart"/>
      <w:r w:rsidRPr="00410DAC">
        <w:rPr>
          <w:sz w:val="22"/>
          <w:szCs w:val="22"/>
          <w:lang w:val="en-GB"/>
        </w:rPr>
        <w:t>be made</w:t>
      </w:r>
      <w:proofErr w:type="gramEnd"/>
      <w:r w:rsidRPr="00410DAC">
        <w:rPr>
          <w:sz w:val="22"/>
          <w:szCs w:val="22"/>
          <w:lang w:val="en-GB"/>
        </w:rPr>
        <w:t xml:space="preserve"> to the rule of uncertainty of conditions that govern the high energy/output ratio in greenhouse facilities. Based on the correlation/regression and index analysis they have established that the return rate in production of vegetables grown under cover depends on following three components: the specific gravity of costs for natural gas and other heat supply sources, the share of costs for electricity and capital-labour ratio. Findings imply that energy efficiency in national agribusiness was insufficient. Authors justify a need for a substantial increase in a use of alternate energy sources with mostly decentralized distribution.</w:t>
      </w:r>
    </w:p>
    <w:p w:rsidR="00DB60DF" w:rsidRPr="00E50368" w:rsidRDefault="00DB60DF" w:rsidP="00DB60DF">
      <w:pPr>
        <w:spacing w:after="0" w:line="240" w:lineRule="auto"/>
        <w:rPr>
          <w:rFonts w:ascii="Times New Roman" w:hAnsi="Times New Roman" w:cs="Times New Roman"/>
          <w:lang w:val="en-US"/>
        </w:rPr>
      </w:pPr>
    </w:p>
    <w:p w:rsidR="00DB60DF" w:rsidRPr="00410DAC" w:rsidRDefault="00DB60DF" w:rsidP="00DB60DF">
      <w:pPr>
        <w:pStyle w:val="TNR"/>
        <w:spacing w:line="240" w:lineRule="auto"/>
        <w:ind w:firstLine="0"/>
        <w:outlineLvl w:val="0"/>
        <w:rPr>
          <w:sz w:val="22"/>
          <w:szCs w:val="22"/>
          <w:lang w:val="en-GB"/>
        </w:rPr>
      </w:pPr>
      <w:r w:rsidRPr="00410DAC">
        <w:rPr>
          <w:b/>
          <w:sz w:val="22"/>
          <w:szCs w:val="22"/>
          <w:lang w:val="en-GB"/>
        </w:rPr>
        <w:t>Key words</w:t>
      </w:r>
      <w:r>
        <w:rPr>
          <w:b/>
          <w:sz w:val="22"/>
          <w:szCs w:val="22"/>
          <w:lang w:val="en-GB"/>
        </w:rPr>
        <w:t xml:space="preserve">: </w:t>
      </w:r>
      <w:r w:rsidRPr="00A00D5C">
        <w:rPr>
          <w:sz w:val="22"/>
          <w:szCs w:val="22"/>
          <w:lang w:val="en-GB"/>
        </w:rPr>
        <w:t>agrib</w:t>
      </w:r>
      <w:r w:rsidRPr="00410DAC">
        <w:rPr>
          <w:sz w:val="22"/>
          <w:szCs w:val="22"/>
          <w:lang w:val="en-GB"/>
        </w:rPr>
        <w:t xml:space="preserve">usiness, energy efficiency, greenhouse industry, resource potential, energy supply, cost factor analysis. </w:t>
      </w:r>
    </w:p>
    <w:p w:rsidR="00DB60DF" w:rsidRDefault="00DB60DF" w:rsidP="00DB60DF">
      <w:pPr>
        <w:pStyle w:val="TNR"/>
        <w:spacing w:line="240" w:lineRule="auto"/>
        <w:ind w:firstLine="0"/>
        <w:rPr>
          <w:sz w:val="22"/>
          <w:szCs w:val="22"/>
          <w:lang w:val="en-GB"/>
        </w:rPr>
      </w:pPr>
    </w:p>
    <w:p w:rsidR="00DB60DF" w:rsidRDefault="00DB60DF" w:rsidP="00DB60DF">
      <w:pPr>
        <w:pStyle w:val="TNR"/>
        <w:spacing w:line="240" w:lineRule="auto"/>
        <w:ind w:firstLine="0"/>
        <w:rPr>
          <w:sz w:val="22"/>
          <w:szCs w:val="22"/>
          <w:lang w:val="en-US"/>
        </w:rPr>
      </w:pPr>
      <w:proofErr w:type="spellStart"/>
      <w:r w:rsidRPr="002354DA">
        <w:rPr>
          <w:b/>
          <w:sz w:val="22"/>
          <w:szCs w:val="22"/>
          <w:lang w:val="en-US"/>
        </w:rPr>
        <w:t>JEL</w:t>
      </w:r>
      <w:proofErr w:type="spellEnd"/>
      <w:r w:rsidRPr="002354DA">
        <w:rPr>
          <w:b/>
          <w:sz w:val="22"/>
          <w:szCs w:val="22"/>
          <w:lang w:val="en-US"/>
        </w:rPr>
        <w:t xml:space="preserve"> Classifications:</w:t>
      </w:r>
      <w:r>
        <w:rPr>
          <w:b/>
          <w:sz w:val="22"/>
          <w:szCs w:val="22"/>
          <w:lang w:val="en-US"/>
        </w:rPr>
        <w:t xml:space="preserve"> </w:t>
      </w:r>
      <w:r w:rsidRPr="002354DA">
        <w:rPr>
          <w:sz w:val="22"/>
          <w:szCs w:val="22"/>
          <w:lang w:val="en-US"/>
        </w:rPr>
        <w:t>O13, Q42</w:t>
      </w:r>
      <w:r>
        <w:rPr>
          <w:sz w:val="22"/>
          <w:szCs w:val="22"/>
          <w:lang w:val="en-US"/>
        </w:rPr>
        <w:t>,</w:t>
      </w:r>
      <w:r w:rsidRPr="002354DA">
        <w:rPr>
          <w:b/>
          <w:sz w:val="22"/>
          <w:szCs w:val="22"/>
          <w:lang w:val="en-US"/>
        </w:rPr>
        <w:t xml:space="preserve"> </w:t>
      </w:r>
      <w:r>
        <w:rPr>
          <w:sz w:val="22"/>
          <w:szCs w:val="22"/>
          <w:lang w:val="en-US"/>
        </w:rPr>
        <w:t>Q47</w:t>
      </w:r>
    </w:p>
    <w:p w:rsidR="00D11FD6" w:rsidRDefault="00D11FD6">
      <w:bookmarkStart w:id="0" w:name="_GoBack"/>
      <w:bookmarkEnd w:id="0"/>
    </w:p>
    <w:sectPr w:rsidR="00D11FD6" w:rsidSect="000E27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DF"/>
    <w:rsid w:val="000E27BC"/>
    <w:rsid w:val="00D11FD6"/>
    <w:rsid w:val="00DB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6F876-2CEC-47E8-AB09-1EF4495D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0DF"/>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NR">
    <w:name w:val="TNR"/>
    <w:basedOn w:val="a"/>
    <w:link w:val="TNR0"/>
    <w:qFormat/>
    <w:rsid w:val="00DB60DF"/>
    <w:pPr>
      <w:suppressAutoHyphens/>
      <w:spacing w:after="0" w:line="360" w:lineRule="auto"/>
      <w:ind w:firstLine="709"/>
      <w:jc w:val="both"/>
    </w:pPr>
    <w:rPr>
      <w:rFonts w:ascii="Times New Roman" w:hAnsi="Times New Roman" w:cs="Times New Roman"/>
      <w:sz w:val="28"/>
      <w:szCs w:val="28"/>
    </w:rPr>
  </w:style>
  <w:style w:type="character" w:customStyle="1" w:styleId="TNR0">
    <w:name w:val="TNR Знак"/>
    <w:basedOn w:val="a0"/>
    <w:link w:val="TNR"/>
    <w:rsid w:val="00DB60DF"/>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cp:revision>
  <dcterms:created xsi:type="dcterms:W3CDTF">2018-03-04T15:51:00Z</dcterms:created>
  <dcterms:modified xsi:type="dcterms:W3CDTF">2018-03-04T15:51:00Z</dcterms:modified>
</cp:coreProperties>
</file>